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1E968" w14:textId="77777777" w:rsidR="00426A6F" w:rsidRPr="00426A6F" w:rsidRDefault="00426A6F" w:rsidP="00426A6F">
      <w:pPr>
        <w:keepNext/>
        <w:keepLines/>
        <w:spacing w:before="240" w:after="0"/>
        <w:jc w:val="center"/>
        <w:outlineLvl w:val="0"/>
        <w:rPr>
          <w:rFonts w:ascii="Cambria" w:eastAsia="MS Gothic" w:hAnsi="Cambria" w:cs="Times New Roman"/>
          <w:b/>
          <w:bCs/>
          <w:color w:val="365F91"/>
          <w:sz w:val="28"/>
          <w:szCs w:val="28"/>
        </w:rPr>
      </w:pPr>
      <w:bookmarkStart w:id="0" w:name="_Toc422744756"/>
      <w:r w:rsidRPr="00426A6F">
        <w:rPr>
          <w:rFonts w:ascii="Cambria" w:eastAsia="MS Gothic" w:hAnsi="Cambria" w:cs="Times New Roman"/>
          <w:b/>
          <w:bCs/>
          <w:color w:val="365F91"/>
          <w:sz w:val="28"/>
          <w:szCs w:val="28"/>
        </w:rPr>
        <w:t>Chapter 4: The Palestinian Public Pension System</w:t>
      </w:r>
      <w:bookmarkEnd w:id="0"/>
    </w:p>
    <w:p w14:paraId="36342B53" w14:textId="77777777" w:rsidR="00426A6F" w:rsidRPr="00426A6F" w:rsidRDefault="00426A6F" w:rsidP="00426A6F">
      <w:pPr>
        <w:keepNext/>
        <w:keepLines/>
        <w:spacing w:before="240" w:after="0"/>
        <w:jc w:val="both"/>
        <w:outlineLvl w:val="1"/>
        <w:rPr>
          <w:rFonts w:ascii="Cambria" w:eastAsia="Times New Roman" w:hAnsi="Cambria" w:cs="Times New Roman"/>
          <w:b/>
          <w:bCs/>
          <w:color w:val="4F81BD"/>
          <w:sz w:val="26"/>
          <w:szCs w:val="26"/>
        </w:rPr>
      </w:pPr>
      <w:bookmarkStart w:id="1" w:name="_Toc422744757"/>
      <w:bookmarkStart w:id="2" w:name="_Toc271548613"/>
      <w:bookmarkStart w:id="3" w:name="_Toc271548612"/>
      <w:r w:rsidRPr="00426A6F">
        <w:rPr>
          <w:rFonts w:ascii="Cambria" w:eastAsia="Times New Roman" w:hAnsi="Cambria" w:cs="Times New Roman"/>
          <w:b/>
          <w:bCs/>
          <w:color w:val="4F81BD"/>
          <w:sz w:val="26"/>
          <w:szCs w:val="26"/>
        </w:rPr>
        <w:t>4.1 An overview of the current pension system and recent reform efforts</w:t>
      </w:r>
      <w:bookmarkEnd w:id="1"/>
    </w:p>
    <w:p w14:paraId="0A6EE240" w14:textId="77777777" w:rsidR="00426A6F" w:rsidRPr="00426A6F" w:rsidRDefault="00426A6F" w:rsidP="00426A6F">
      <w:pPr>
        <w:spacing w:after="0" w:line="240" w:lineRule="auto"/>
        <w:ind w:left="720"/>
        <w:jc w:val="both"/>
        <w:rPr>
          <w:rFonts w:ascii="Times New Roman" w:eastAsia="Times New Roman" w:hAnsi="Times New Roman" w:cs="Times New Roman"/>
        </w:rPr>
      </w:pPr>
    </w:p>
    <w:p w14:paraId="5AEA7595" w14:textId="77777777" w:rsidR="00426A6F" w:rsidRPr="00426A6F" w:rsidRDefault="00426A6F" w:rsidP="00426A6F">
      <w:pPr>
        <w:jc w:val="both"/>
        <w:rPr>
          <w:rFonts w:ascii="Times New Roman" w:eastAsia="Times New Roman" w:hAnsi="Times New Roman" w:cs="Times New Roman"/>
        </w:rPr>
      </w:pPr>
      <w:r w:rsidRPr="00426A6F">
        <w:rPr>
          <w:b/>
        </w:rPr>
        <w:t xml:space="preserve">Public pension expenditure in the Palestinian territories is high and unsustainable. </w:t>
      </w:r>
      <w:r w:rsidRPr="00426A6F">
        <w:t>Total pension expenditure was NIS 1,089 million</w:t>
      </w:r>
      <w:r w:rsidRPr="00426A6F">
        <w:rPr>
          <w:vertAlign w:val="superscript"/>
        </w:rPr>
        <w:footnoteReference w:id="1"/>
      </w:r>
      <w:r w:rsidRPr="00426A6F">
        <w:t xml:space="preserve"> in 2013, or around 3 percent of GDP.</w:t>
      </w:r>
      <w:r w:rsidRPr="00426A6F">
        <w:rPr>
          <w:vertAlign w:val="superscript"/>
        </w:rPr>
        <w:footnoteReference w:id="2"/>
      </w:r>
      <w:r w:rsidRPr="00426A6F">
        <w:t xml:space="preserve"> Even though this is close to the MENA average of 3.6 percent, it is considered extremely high in the Palestinian context given the demographic profile, with only 3 percent of the population currently above the age of 65. Transfers currently required by the pension system pose a huge fiscal burden on the PA’s budget and future costs are projected to continue increasing and, at some point, start crowding out spending on other key areas including social assistance, healthcare, and education. Political instability, low economic growth, high unemployment, and chronic difficulties with financing the PA’s budget are all factors that dampen the government’s appetite for pension reform. Nonetheless, the system is not fiscally sustainable as currently designed and implemented; hence the urgent need for reform. </w:t>
      </w:r>
    </w:p>
    <w:p w14:paraId="6FADC824" w14:textId="77777777" w:rsidR="00426A6F" w:rsidRPr="00426A6F" w:rsidRDefault="00426A6F" w:rsidP="00426A6F">
      <w:pPr>
        <w:jc w:val="both"/>
      </w:pPr>
      <w:r w:rsidRPr="00426A6F">
        <w:rPr>
          <w:b/>
        </w:rPr>
        <w:t>Assessing the Palestinian public pension system against best practice</w:t>
      </w:r>
      <w:r w:rsidRPr="00426A6F">
        <w:rPr>
          <w:b/>
          <w:color w:val="000000"/>
          <w:vertAlign w:val="superscript"/>
        </w:rPr>
        <w:footnoteReference w:id="3"/>
      </w:r>
      <w:r w:rsidRPr="00426A6F">
        <w:rPr>
          <w:b/>
        </w:rPr>
        <w:t xml:space="preserve"> reveals a number of considerable issues, including low coverage</w:t>
      </w:r>
      <w:r w:rsidRPr="00426A6F">
        <w:t>. As of September 2014, the system had 154,986 active contributors, including 86,359 civil servants, 65,277 security personnel, and a limited number of 3,350 private sector employees.</w:t>
      </w:r>
      <w:r w:rsidRPr="00426A6F">
        <w:rPr>
          <w:vertAlign w:val="superscript"/>
        </w:rPr>
        <w:footnoteReference w:id="4"/>
      </w:r>
      <w:r w:rsidRPr="00426A6F">
        <w:t xml:space="preserve"> Together, these represent around 16 percent of the total labor force, and 7 percent of the working-age population (ages 15 to 64). On the other hand, the system provides benefits - whether for old-age, disability, or survivorship - to 46,596 beneficiaries who represent only 1 percent of the total population. This coverage rate is very low given the share of pension expenditure in the Palestinian economy. Countries with similar low coverage ratios such as Paraguay and Ghana have much lower pension spending as a percentage of GDP, ranging between 0.1 percent to a maximum of 2 percent. </w:t>
      </w:r>
    </w:p>
    <w:tbl>
      <w:tblPr>
        <w:tblStyle w:val="TableGrid"/>
        <w:tblW w:w="0" w:type="auto"/>
        <w:tblLook w:val="04A0" w:firstRow="1" w:lastRow="0" w:firstColumn="1" w:lastColumn="0" w:noHBand="0" w:noVBand="1"/>
      </w:tblPr>
      <w:tblGrid>
        <w:gridCol w:w="4680"/>
        <w:gridCol w:w="4670"/>
      </w:tblGrid>
      <w:tr w:rsidR="00426A6F" w:rsidRPr="00426A6F" w14:paraId="5494D14D" w14:textId="77777777" w:rsidTr="00DF20A2">
        <w:tc>
          <w:tcPr>
            <w:tcW w:w="4788" w:type="dxa"/>
          </w:tcPr>
          <w:p w14:paraId="78E4064F" w14:textId="77777777" w:rsidR="00426A6F" w:rsidRPr="00426A6F" w:rsidRDefault="00426A6F" w:rsidP="00426A6F">
            <w:pPr>
              <w:keepNext/>
              <w:jc w:val="center"/>
              <w:rPr>
                <w:b/>
                <w:iCs/>
                <w:noProof/>
              </w:rPr>
            </w:pPr>
            <w:bookmarkStart w:id="4" w:name="_Toc422385726"/>
            <w:r w:rsidRPr="00426A6F">
              <w:rPr>
                <w:b/>
                <w:iCs/>
              </w:rPr>
              <w:lastRenderedPageBreak/>
              <w:t xml:space="preserve">Figure </w:t>
            </w:r>
            <w:r w:rsidRPr="00426A6F">
              <w:rPr>
                <w:b/>
                <w:iCs/>
              </w:rPr>
              <w:fldChar w:fldCharType="begin"/>
            </w:r>
            <w:r w:rsidRPr="00426A6F">
              <w:rPr>
                <w:b/>
                <w:iCs/>
              </w:rPr>
              <w:instrText xml:space="preserve"> SEQ Figure \* ARABIC </w:instrText>
            </w:r>
            <w:r w:rsidRPr="00426A6F">
              <w:rPr>
                <w:b/>
                <w:iCs/>
              </w:rPr>
              <w:fldChar w:fldCharType="separate"/>
            </w:r>
            <w:r w:rsidRPr="00426A6F">
              <w:rPr>
                <w:b/>
                <w:iCs/>
                <w:noProof/>
              </w:rPr>
              <w:t>73</w:t>
            </w:r>
            <w:r w:rsidRPr="00426A6F">
              <w:rPr>
                <w:b/>
                <w:iCs/>
                <w:noProof/>
              </w:rPr>
              <w:fldChar w:fldCharType="end"/>
            </w:r>
            <w:r w:rsidRPr="00426A6F">
              <w:rPr>
                <w:b/>
                <w:iCs/>
              </w:rPr>
              <w:t>: Pension expenditure and % of elderly population</w:t>
            </w:r>
            <w:bookmarkEnd w:id="4"/>
          </w:p>
          <w:p w14:paraId="5ED30101" w14:textId="77777777" w:rsidR="00426A6F" w:rsidRPr="00426A6F" w:rsidRDefault="00426A6F" w:rsidP="00426A6F">
            <w:pPr>
              <w:jc w:val="both"/>
            </w:pPr>
            <w:r w:rsidRPr="00426A6F">
              <w:rPr>
                <w:rFonts w:ascii="Times New Roman" w:eastAsia="Times New Roman" w:hAnsi="Times New Roman" w:cs="Times New Roman"/>
                <w:noProof/>
              </w:rPr>
              <w:drawing>
                <wp:inline distT="0" distB="0" distL="0" distR="0" wp14:anchorId="23412158" wp14:editId="14A8DF40">
                  <wp:extent cx="2702560" cy="2357755"/>
                  <wp:effectExtent l="0" t="0" r="254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02560" cy="2357755"/>
                          </a:xfrm>
                          <a:prstGeom prst="rect">
                            <a:avLst/>
                          </a:prstGeom>
                          <a:noFill/>
                        </pic:spPr>
                      </pic:pic>
                    </a:graphicData>
                  </a:graphic>
                </wp:inline>
              </w:drawing>
            </w:r>
          </w:p>
          <w:p w14:paraId="5FDA6A63" w14:textId="77777777" w:rsidR="00426A6F" w:rsidRPr="00426A6F" w:rsidRDefault="00426A6F" w:rsidP="00426A6F">
            <w:pPr>
              <w:keepNext/>
              <w:keepLines/>
              <w:jc w:val="both"/>
              <w:rPr>
                <w:rFonts w:ascii="Calibri" w:eastAsia="Calibri" w:hAnsi="Calibri" w:cs="Times New Roman"/>
                <w:sz w:val="20"/>
                <w:szCs w:val="20"/>
              </w:rPr>
            </w:pPr>
            <w:r w:rsidRPr="00426A6F">
              <w:rPr>
                <w:rFonts w:ascii="Calibri" w:eastAsia="Calibri" w:hAnsi="Calibri" w:cs="Times New Roman"/>
                <w:i/>
                <w:sz w:val="20"/>
                <w:szCs w:val="20"/>
              </w:rPr>
              <w:t>Source:</w:t>
            </w:r>
            <w:r w:rsidRPr="00426A6F">
              <w:rPr>
                <w:rFonts w:ascii="Calibri" w:eastAsia="Calibri" w:hAnsi="Calibri" w:cs="Times New Roman"/>
                <w:sz w:val="20"/>
                <w:szCs w:val="20"/>
              </w:rPr>
              <w:t xml:space="preserve"> HDNSP Pensions Database.</w:t>
            </w:r>
          </w:p>
        </w:tc>
        <w:tc>
          <w:tcPr>
            <w:tcW w:w="4788" w:type="dxa"/>
          </w:tcPr>
          <w:p w14:paraId="59304ECD" w14:textId="77777777" w:rsidR="00426A6F" w:rsidRPr="00426A6F" w:rsidRDefault="00426A6F" w:rsidP="00426A6F">
            <w:pPr>
              <w:keepNext/>
              <w:jc w:val="center"/>
              <w:rPr>
                <w:rFonts w:ascii="Times New Roman" w:eastAsia="Times New Roman" w:hAnsi="Times New Roman" w:cs="Times New Roman"/>
                <w:b/>
                <w:iCs/>
                <w:noProof/>
              </w:rPr>
            </w:pPr>
            <w:bookmarkStart w:id="5" w:name="_Toc422385727"/>
            <w:r w:rsidRPr="00426A6F">
              <w:rPr>
                <w:b/>
                <w:iCs/>
              </w:rPr>
              <w:t xml:space="preserve">Figure </w:t>
            </w:r>
            <w:r w:rsidRPr="00426A6F">
              <w:rPr>
                <w:b/>
                <w:iCs/>
              </w:rPr>
              <w:fldChar w:fldCharType="begin"/>
            </w:r>
            <w:r w:rsidRPr="00426A6F">
              <w:rPr>
                <w:b/>
                <w:iCs/>
              </w:rPr>
              <w:instrText xml:space="preserve"> SEQ Figure \* ARABIC </w:instrText>
            </w:r>
            <w:r w:rsidRPr="00426A6F">
              <w:rPr>
                <w:b/>
                <w:iCs/>
              </w:rPr>
              <w:fldChar w:fldCharType="separate"/>
            </w:r>
            <w:r w:rsidRPr="00426A6F">
              <w:rPr>
                <w:b/>
                <w:iCs/>
                <w:noProof/>
              </w:rPr>
              <w:t>74</w:t>
            </w:r>
            <w:r w:rsidRPr="00426A6F">
              <w:rPr>
                <w:b/>
                <w:iCs/>
                <w:noProof/>
              </w:rPr>
              <w:fldChar w:fldCharType="end"/>
            </w:r>
            <w:r w:rsidRPr="00426A6F">
              <w:rPr>
                <w:b/>
                <w:iCs/>
              </w:rPr>
              <w:t>: Pension expenditure and % of beneficiaries over total population</w:t>
            </w:r>
            <w:bookmarkEnd w:id="5"/>
          </w:p>
          <w:p w14:paraId="2D4BEB76" w14:textId="77777777" w:rsidR="00426A6F" w:rsidRPr="00426A6F" w:rsidRDefault="00426A6F" w:rsidP="00426A6F">
            <w:pPr>
              <w:jc w:val="both"/>
            </w:pPr>
            <w:r w:rsidRPr="00426A6F">
              <w:rPr>
                <w:rFonts w:ascii="Times New Roman" w:eastAsia="Times New Roman" w:hAnsi="Times New Roman" w:cs="Times New Roman"/>
                <w:noProof/>
              </w:rPr>
              <w:drawing>
                <wp:inline distT="0" distB="0" distL="0" distR="0" wp14:anchorId="2D894928" wp14:editId="06C85223">
                  <wp:extent cx="2682875" cy="2098675"/>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82875" cy="2098675"/>
                          </a:xfrm>
                          <a:prstGeom prst="rect">
                            <a:avLst/>
                          </a:prstGeom>
                          <a:noFill/>
                          <a:ln>
                            <a:noFill/>
                          </a:ln>
                        </pic:spPr>
                      </pic:pic>
                    </a:graphicData>
                  </a:graphic>
                </wp:inline>
              </w:drawing>
            </w:r>
          </w:p>
        </w:tc>
      </w:tr>
    </w:tbl>
    <w:p w14:paraId="6C2E6318" w14:textId="77777777" w:rsidR="00426A6F" w:rsidRPr="00426A6F" w:rsidRDefault="00426A6F" w:rsidP="00426A6F">
      <w:pPr>
        <w:jc w:val="both"/>
      </w:pPr>
    </w:p>
    <w:p w14:paraId="4A9C6DAE" w14:textId="77777777" w:rsidR="00426A6F" w:rsidRPr="00426A6F" w:rsidRDefault="00426A6F" w:rsidP="00426A6F">
      <w:pPr>
        <w:jc w:val="both"/>
      </w:pPr>
      <w:r w:rsidRPr="00426A6F">
        <w:rPr>
          <w:b/>
        </w:rPr>
        <w:t xml:space="preserve">The pension system is also highly fragmented, consisting of four schemes. </w:t>
      </w:r>
      <w:r w:rsidRPr="00426A6F">
        <w:t>Two of these schemes cover civil servants. The first one is for the West Bank and was inherited from Jordan (hereafter referred to as Scheme IV), and the second one is for Gaza, inherited from Egypt (hereafter referred to as Scheme I). The PA has been conducting efforts to integrate the two civil service schemes since 1998, which is why in 2001 the West Bank civil servants scheme (Scheme IV) was closed off and new entrants were enrolled into the Gaza scheme (Scheme I). Security services personnel were excluded from the public sector pension system until January 2005, when a new Security Services Pension Law (SSPL) was enacted to provide pensions for all security personnel aged 46 and above through a separate scheme (hereafter referred to as Scheme III). Since September 2006, and as a result of the unified pension law (UPL) that was enacted in 2005,</w:t>
      </w:r>
      <w:r w:rsidRPr="00426A6F">
        <w:rPr>
          <w:vertAlign w:val="superscript"/>
        </w:rPr>
        <w:footnoteReference w:id="5"/>
      </w:r>
      <w:r w:rsidRPr="00426A6F">
        <w:t xml:space="preserve"> all government employees including security staff under the age of 46 are members of a new scheme (hereafter referred to as Scheme II).</w:t>
      </w:r>
      <w:r w:rsidRPr="00426A6F">
        <w:rPr>
          <w:vertAlign w:val="superscript"/>
        </w:rPr>
        <w:footnoteReference w:id="6"/>
      </w:r>
      <w:r w:rsidRPr="00426A6F">
        <w:t xml:space="preserve"> Older employees were “grandfathered” and remain beneficiaries of their original pension schemes (Schemes I, III, and IV). Hence, beneficiary coverage in different schemes is age dependent. Scheme II only covers workers who were 46 years or younger in 2006. The other three schemes cover workers who were older than 46 in 2006. Projections show that by approximately 2020, all PA government workers will be covered under Scheme II. Schemes I, III, and IV were traditionally designed on the principle of defined-benefit (DB). Scheme II, on the other hand, was designed with two components: one as DB, and the other as defined-contribution (DC). In practice, however, all schemes operate on a pay-as-you-go, defined-benefit basis (PAYG-DB).</w:t>
      </w:r>
    </w:p>
    <w:p w14:paraId="6E287DA8" w14:textId="77777777" w:rsidR="00426A6F" w:rsidRPr="00426A6F" w:rsidRDefault="00426A6F" w:rsidP="00426A6F">
      <w:pPr>
        <w:spacing w:after="0" w:line="240" w:lineRule="auto"/>
        <w:ind w:left="540"/>
        <w:jc w:val="both"/>
        <w:rPr>
          <w:rFonts w:ascii="Times New Roman" w:eastAsia="Times New Roman" w:hAnsi="Times New Roman" w:cs="Times New Roman"/>
        </w:rPr>
      </w:pPr>
    </w:p>
    <w:p w14:paraId="226980E2" w14:textId="77777777" w:rsidR="00426A6F" w:rsidRPr="00426A6F" w:rsidRDefault="00426A6F" w:rsidP="00426A6F">
      <w:pPr>
        <w:keepNext/>
        <w:spacing w:after="0" w:line="240" w:lineRule="auto"/>
        <w:jc w:val="center"/>
        <w:rPr>
          <w:b/>
          <w:iCs/>
        </w:rPr>
      </w:pPr>
      <w:bookmarkStart w:id="6" w:name="_Toc422385109"/>
      <w:r w:rsidRPr="00426A6F">
        <w:rPr>
          <w:b/>
          <w:iCs/>
        </w:rPr>
        <w:lastRenderedPageBreak/>
        <w:t xml:space="preserve">Table </w:t>
      </w:r>
      <w:r w:rsidRPr="00426A6F">
        <w:rPr>
          <w:b/>
          <w:iCs/>
        </w:rPr>
        <w:fldChar w:fldCharType="begin"/>
      </w:r>
      <w:r w:rsidRPr="00426A6F">
        <w:rPr>
          <w:b/>
          <w:iCs/>
        </w:rPr>
        <w:instrText xml:space="preserve"> SEQ Table \* ARABIC </w:instrText>
      </w:r>
      <w:r w:rsidRPr="00426A6F">
        <w:rPr>
          <w:b/>
          <w:iCs/>
        </w:rPr>
        <w:fldChar w:fldCharType="separate"/>
      </w:r>
      <w:r w:rsidRPr="00426A6F">
        <w:rPr>
          <w:b/>
          <w:iCs/>
          <w:noProof/>
        </w:rPr>
        <w:t>17</w:t>
      </w:r>
      <w:r w:rsidRPr="00426A6F">
        <w:rPr>
          <w:b/>
          <w:iCs/>
          <w:noProof/>
        </w:rPr>
        <w:fldChar w:fldCharType="end"/>
      </w:r>
      <w:r w:rsidRPr="00426A6F">
        <w:rPr>
          <w:b/>
          <w:iCs/>
        </w:rPr>
        <w:t>: Summary of key characteristics of the four pension schemes operating in the West Bank and Gaza</w:t>
      </w:r>
      <w:bookmarkEnd w:id="6"/>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60"/>
        <w:gridCol w:w="5992"/>
      </w:tblGrid>
      <w:tr w:rsidR="00426A6F" w:rsidRPr="00426A6F" w14:paraId="53A794C4" w14:textId="77777777" w:rsidTr="00DF20A2">
        <w:trPr>
          <w:jc w:val="center"/>
        </w:trPr>
        <w:tc>
          <w:tcPr>
            <w:tcW w:w="2160" w:type="dxa"/>
          </w:tcPr>
          <w:p w14:paraId="4482127A" w14:textId="77777777" w:rsidR="00426A6F" w:rsidRPr="00426A6F" w:rsidRDefault="00426A6F" w:rsidP="00426A6F">
            <w:pPr>
              <w:keepNext/>
              <w:keepLines/>
              <w:spacing w:after="0" w:line="240" w:lineRule="auto"/>
              <w:jc w:val="center"/>
              <w:rPr>
                <w:rFonts w:eastAsia="Times New Roman" w:cs="Times New Roman"/>
                <w:b/>
              </w:rPr>
            </w:pPr>
            <w:r w:rsidRPr="00426A6F">
              <w:rPr>
                <w:rFonts w:eastAsia="Times New Roman" w:cs="Times New Roman"/>
                <w:b/>
              </w:rPr>
              <w:t>Scheme</w:t>
            </w:r>
          </w:p>
        </w:tc>
        <w:tc>
          <w:tcPr>
            <w:tcW w:w="5992" w:type="dxa"/>
          </w:tcPr>
          <w:p w14:paraId="4D0BAAE3" w14:textId="77777777" w:rsidR="00426A6F" w:rsidRPr="00426A6F" w:rsidRDefault="00426A6F" w:rsidP="00426A6F">
            <w:pPr>
              <w:keepNext/>
              <w:keepLines/>
              <w:spacing w:after="0" w:line="240" w:lineRule="auto"/>
              <w:jc w:val="center"/>
              <w:rPr>
                <w:rFonts w:eastAsia="Times New Roman" w:cs="Times New Roman"/>
                <w:b/>
              </w:rPr>
            </w:pPr>
            <w:r w:rsidRPr="00426A6F">
              <w:rPr>
                <w:rFonts w:eastAsia="Times New Roman" w:cs="Times New Roman"/>
                <w:b/>
              </w:rPr>
              <w:t>Population covered (members)</w:t>
            </w:r>
          </w:p>
        </w:tc>
      </w:tr>
      <w:tr w:rsidR="00426A6F" w:rsidRPr="00426A6F" w14:paraId="3A120DE6" w14:textId="77777777" w:rsidTr="00DF20A2">
        <w:trPr>
          <w:jc w:val="center"/>
        </w:trPr>
        <w:tc>
          <w:tcPr>
            <w:tcW w:w="2160" w:type="dxa"/>
            <w:tcBorders>
              <w:bottom w:val="single" w:sz="4" w:space="0" w:color="000000"/>
            </w:tcBorders>
          </w:tcPr>
          <w:p w14:paraId="5F02F5EC" w14:textId="77777777" w:rsidR="00426A6F" w:rsidRPr="00426A6F" w:rsidRDefault="00426A6F" w:rsidP="00426A6F">
            <w:pPr>
              <w:keepNext/>
              <w:keepLines/>
              <w:spacing w:after="0" w:line="240" w:lineRule="auto"/>
              <w:jc w:val="both"/>
              <w:rPr>
                <w:rFonts w:eastAsia="Times New Roman" w:cs="Times New Roman"/>
              </w:rPr>
            </w:pPr>
            <w:r w:rsidRPr="00426A6F">
              <w:rPr>
                <w:rFonts w:eastAsia="Times New Roman" w:cs="Times New Roman"/>
                <w:b/>
              </w:rPr>
              <w:t>Scheme I</w:t>
            </w:r>
            <w:r w:rsidRPr="00426A6F">
              <w:rPr>
                <w:rFonts w:eastAsia="Times New Roman" w:cs="Times New Roman"/>
              </w:rPr>
              <w:t xml:space="preserve"> </w:t>
            </w:r>
            <w:r w:rsidRPr="00426A6F">
              <w:rPr>
                <w:rFonts w:eastAsia="Times New Roman" w:cs="Times New Roman"/>
                <w:b/>
                <w:color w:val="0070C0"/>
              </w:rPr>
              <w:t>(gradually phasing out)</w:t>
            </w:r>
          </w:p>
        </w:tc>
        <w:tc>
          <w:tcPr>
            <w:tcW w:w="5992" w:type="dxa"/>
            <w:tcBorders>
              <w:bottom w:val="single" w:sz="4" w:space="0" w:color="000000"/>
            </w:tcBorders>
          </w:tcPr>
          <w:p w14:paraId="0FA14CF5" w14:textId="77777777" w:rsidR="00426A6F" w:rsidRPr="00426A6F" w:rsidRDefault="00426A6F" w:rsidP="00426A6F">
            <w:pPr>
              <w:keepNext/>
              <w:keepLines/>
              <w:spacing w:after="0" w:line="240" w:lineRule="auto"/>
              <w:jc w:val="both"/>
              <w:rPr>
                <w:rFonts w:eastAsia="Times New Roman" w:cs="Times New Roman"/>
              </w:rPr>
            </w:pPr>
            <w:r w:rsidRPr="00426A6F">
              <w:rPr>
                <w:rFonts w:eastAsia="Times New Roman" w:cs="Times New Roman"/>
              </w:rPr>
              <w:t>Gaza civil service employees plus those from the West Bank hired May 1, 2000 or later, with the exception of those who are members of Scheme II</w:t>
            </w:r>
          </w:p>
        </w:tc>
      </w:tr>
      <w:tr w:rsidR="00426A6F" w:rsidRPr="00426A6F" w14:paraId="6EBA5FA5" w14:textId="77777777" w:rsidTr="00DF20A2">
        <w:trPr>
          <w:jc w:val="center"/>
        </w:trPr>
        <w:tc>
          <w:tcPr>
            <w:tcW w:w="2160" w:type="dxa"/>
            <w:shd w:val="pct10" w:color="auto" w:fill="FFFFFF"/>
          </w:tcPr>
          <w:p w14:paraId="61AC018D" w14:textId="77777777" w:rsidR="00426A6F" w:rsidRPr="00426A6F" w:rsidRDefault="00426A6F" w:rsidP="00426A6F">
            <w:pPr>
              <w:keepNext/>
              <w:keepLines/>
              <w:spacing w:after="0" w:line="240" w:lineRule="auto"/>
              <w:jc w:val="both"/>
              <w:rPr>
                <w:rFonts w:eastAsia="Times New Roman" w:cs="Times New Roman"/>
              </w:rPr>
            </w:pPr>
            <w:r w:rsidRPr="00426A6F">
              <w:rPr>
                <w:rFonts w:eastAsia="Times New Roman" w:cs="Times New Roman"/>
                <w:b/>
              </w:rPr>
              <w:t>Scheme II</w:t>
            </w:r>
            <w:r w:rsidRPr="00426A6F">
              <w:rPr>
                <w:rFonts w:eastAsia="Times New Roman" w:cs="Times New Roman"/>
              </w:rPr>
              <w:t xml:space="preserve"> (“new” scheme)</w:t>
            </w:r>
          </w:p>
          <w:p w14:paraId="1EC465A0" w14:textId="77777777" w:rsidR="00426A6F" w:rsidRPr="00426A6F" w:rsidRDefault="00426A6F" w:rsidP="00426A6F">
            <w:pPr>
              <w:keepNext/>
              <w:keepLines/>
              <w:spacing w:after="0" w:line="240" w:lineRule="auto"/>
              <w:jc w:val="both"/>
              <w:rPr>
                <w:rFonts w:eastAsia="Times New Roman" w:cs="Times New Roman"/>
              </w:rPr>
            </w:pPr>
          </w:p>
        </w:tc>
        <w:tc>
          <w:tcPr>
            <w:tcW w:w="5992" w:type="dxa"/>
            <w:shd w:val="pct10" w:color="auto" w:fill="FFFFFF"/>
          </w:tcPr>
          <w:p w14:paraId="6F7B7813" w14:textId="77777777" w:rsidR="00426A6F" w:rsidRPr="00426A6F" w:rsidRDefault="00426A6F" w:rsidP="00426A6F">
            <w:pPr>
              <w:keepNext/>
              <w:keepLines/>
              <w:spacing w:after="0" w:line="240" w:lineRule="auto"/>
              <w:jc w:val="both"/>
              <w:rPr>
                <w:rFonts w:eastAsia="Times New Roman" w:cs="Times New Roman"/>
              </w:rPr>
            </w:pPr>
            <w:r w:rsidRPr="00426A6F">
              <w:rPr>
                <w:rFonts w:eastAsia="Times New Roman" w:cs="Times New Roman"/>
                <w:bCs/>
              </w:rPr>
              <w:t>All</w:t>
            </w:r>
            <w:r w:rsidRPr="00426A6F">
              <w:rPr>
                <w:rFonts w:eastAsia="Times New Roman" w:cs="Times New Roman"/>
              </w:rPr>
              <w:t xml:space="preserve"> PA public workers (civil servants and security services, and a few private sector employees) who were under the age of 45 by September 1, 2006</w:t>
            </w:r>
          </w:p>
        </w:tc>
      </w:tr>
      <w:tr w:rsidR="00426A6F" w:rsidRPr="00426A6F" w14:paraId="2F6A6802" w14:textId="77777777" w:rsidTr="00DF20A2">
        <w:trPr>
          <w:jc w:val="center"/>
        </w:trPr>
        <w:tc>
          <w:tcPr>
            <w:tcW w:w="2160" w:type="dxa"/>
          </w:tcPr>
          <w:p w14:paraId="7EF428C2" w14:textId="77777777" w:rsidR="00426A6F" w:rsidRPr="00426A6F" w:rsidRDefault="00426A6F" w:rsidP="00426A6F">
            <w:pPr>
              <w:keepNext/>
              <w:keepLines/>
              <w:spacing w:after="0" w:line="240" w:lineRule="auto"/>
              <w:jc w:val="both"/>
              <w:rPr>
                <w:rFonts w:eastAsia="Times New Roman" w:cs="Times New Roman"/>
                <w:b/>
                <w:color w:val="0070C0"/>
              </w:rPr>
            </w:pPr>
            <w:r w:rsidRPr="00426A6F">
              <w:rPr>
                <w:rFonts w:eastAsia="Times New Roman" w:cs="Times New Roman"/>
                <w:b/>
              </w:rPr>
              <w:t>Scheme III</w:t>
            </w:r>
            <w:r w:rsidRPr="00426A6F">
              <w:rPr>
                <w:rFonts w:eastAsia="Times New Roman" w:cs="Times New Roman"/>
              </w:rPr>
              <w:t xml:space="preserve"> </w:t>
            </w:r>
            <w:r w:rsidRPr="00426A6F">
              <w:rPr>
                <w:rFonts w:eastAsia="Times New Roman" w:cs="Times New Roman"/>
                <w:b/>
                <w:color w:val="0070C0"/>
              </w:rPr>
              <w:t>(gradually phasing out)</w:t>
            </w:r>
          </w:p>
          <w:p w14:paraId="77CCA95D" w14:textId="77777777" w:rsidR="00426A6F" w:rsidRPr="00426A6F" w:rsidRDefault="00426A6F" w:rsidP="00426A6F">
            <w:pPr>
              <w:keepNext/>
              <w:keepLines/>
              <w:spacing w:after="0" w:line="240" w:lineRule="auto"/>
              <w:jc w:val="both"/>
              <w:rPr>
                <w:rFonts w:eastAsia="Times New Roman" w:cs="Times New Roman"/>
              </w:rPr>
            </w:pPr>
          </w:p>
        </w:tc>
        <w:tc>
          <w:tcPr>
            <w:tcW w:w="5992" w:type="dxa"/>
          </w:tcPr>
          <w:p w14:paraId="018A3D9D" w14:textId="77777777" w:rsidR="00426A6F" w:rsidRPr="00426A6F" w:rsidRDefault="00426A6F" w:rsidP="00426A6F">
            <w:pPr>
              <w:keepNext/>
              <w:keepLines/>
              <w:spacing w:after="0" w:line="240" w:lineRule="auto"/>
              <w:jc w:val="both"/>
              <w:rPr>
                <w:rFonts w:eastAsia="Times New Roman" w:cs="Times New Roman"/>
              </w:rPr>
            </w:pPr>
            <w:r w:rsidRPr="00426A6F">
              <w:rPr>
                <w:rFonts w:eastAsia="Times New Roman" w:cs="Times New Roman"/>
              </w:rPr>
              <w:t>Old security services personnel (ages 46 or older in 2006)</w:t>
            </w:r>
          </w:p>
        </w:tc>
      </w:tr>
      <w:tr w:rsidR="00426A6F" w:rsidRPr="00426A6F" w14:paraId="4B0439F7" w14:textId="77777777" w:rsidTr="00DF20A2">
        <w:trPr>
          <w:jc w:val="center"/>
        </w:trPr>
        <w:tc>
          <w:tcPr>
            <w:tcW w:w="2160" w:type="dxa"/>
          </w:tcPr>
          <w:p w14:paraId="2024E281" w14:textId="77777777" w:rsidR="00426A6F" w:rsidRPr="00426A6F" w:rsidRDefault="00426A6F" w:rsidP="00426A6F">
            <w:pPr>
              <w:keepNext/>
              <w:keepLines/>
              <w:spacing w:after="0" w:line="240" w:lineRule="auto"/>
              <w:jc w:val="both"/>
              <w:rPr>
                <w:rFonts w:eastAsia="Times New Roman" w:cs="Times New Roman"/>
                <w:b/>
                <w:color w:val="0070C0"/>
              </w:rPr>
            </w:pPr>
            <w:r w:rsidRPr="00426A6F">
              <w:rPr>
                <w:rFonts w:eastAsia="Times New Roman" w:cs="Times New Roman"/>
                <w:b/>
              </w:rPr>
              <w:t>Scheme IV</w:t>
            </w:r>
            <w:r w:rsidRPr="00426A6F">
              <w:rPr>
                <w:rFonts w:eastAsia="Times New Roman" w:cs="Times New Roman"/>
              </w:rPr>
              <w:t xml:space="preserve"> </w:t>
            </w:r>
            <w:r w:rsidRPr="00426A6F">
              <w:rPr>
                <w:rFonts w:eastAsia="Times New Roman" w:cs="Times New Roman"/>
                <w:b/>
                <w:color w:val="0070C0"/>
              </w:rPr>
              <w:t>(gradually phasing out)</w:t>
            </w:r>
          </w:p>
          <w:p w14:paraId="421242AC" w14:textId="77777777" w:rsidR="00426A6F" w:rsidRPr="00426A6F" w:rsidRDefault="00426A6F" w:rsidP="00426A6F">
            <w:pPr>
              <w:keepNext/>
              <w:keepLines/>
              <w:spacing w:after="0" w:line="240" w:lineRule="auto"/>
              <w:jc w:val="both"/>
              <w:rPr>
                <w:rFonts w:eastAsia="Times New Roman" w:cs="Times New Roman"/>
              </w:rPr>
            </w:pPr>
          </w:p>
        </w:tc>
        <w:tc>
          <w:tcPr>
            <w:tcW w:w="5992" w:type="dxa"/>
          </w:tcPr>
          <w:p w14:paraId="51948D79" w14:textId="77777777" w:rsidR="00426A6F" w:rsidRPr="00426A6F" w:rsidRDefault="00426A6F" w:rsidP="00426A6F">
            <w:pPr>
              <w:keepNext/>
              <w:keepLines/>
              <w:spacing w:after="0" w:line="240" w:lineRule="auto"/>
              <w:jc w:val="both"/>
              <w:rPr>
                <w:rFonts w:eastAsia="Times New Roman" w:cs="Times New Roman"/>
              </w:rPr>
            </w:pPr>
            <w:r w:rsidRPr="00426A6F">
              <w:rPr>
                <w:rFonts w:eastAsia="Times New Roman" w:cs="Times New Roman"/>
              </w:rPr>
              <w:t>West Bank civil service employees hired before May 1, 2000, with the exception of those who are members of Scheme II</w:t>
            </w:r>
          </w:p>
        </w:tc>
      </w:tr>
    </w:tbl>
    <w:p w14:paraId="7C309EDB" w14:textId="77777777" w:rsidR="00426A6F" w:rsidRPr="00426A6F" w:rsidRDefault="00426A6F" w:rsidP="00426A6F">
      <w:pPr>
        <w:spacing w:after="0" w:line="240" w:lineRule="auto"/>
        <w:ind w:left="810"/>
        <w:jc w:val="both"/>
        <w:rPr>
          <w:rFonts w:ascii="Times New Roman" w:eastAsia="Times New Roman" w:hAnsi="Times New Roman" w:cs="Times New Roman"/>
        </w:rPr>
      </w:pPr>
    </w:p>
    <w:p w14:paraId="704B2780" w14:textId="77777777" w:rsidR="00426A6F" w:rsidRPr="00426A6F" w:rsidRDefault="00426A6F" w:rsidP="00426A6F">
      <w:pPr>
        <w:jc w:val="both"/>
        <w:rPr>
          <w:rFonts w:ascii="Times New Roman" w:eastAsia="Times New Roman" w:hAnsi="Times New Roman" w:cs="Times New Roman"/>
        </w:rPr>
      </w:pPr>
      <w:r w:rsidRPr="00426A6F">
        <w:rPr>
          <w:b/>
        </w:rPr>
        <w:t xml:space="preserve">All schemes use a high accrual rate to calculate pension benefits, leading to high replacement rates. </w:t>
      </w:r>
      <w:r>
        <w:t>In Schem</w:t>
      </w:r>
      <w:r w:rsidRPr="00426A6F">
        <w:t xml:space="preserve">es I. III and IV, the accrual rate is 2.5 percent which is high compared to other pension systems around the world. In addition, pension benefits are tied to wage levels, as opposed to a cost of living index. Even though the accrual rate for Scheme II is lower at 2 percent, it is still considered high compared the world average. For instance, in OECD countries, the trend has been to reduce the accrual rate to a maximum of 1.5 -1.7 percent. </w:t>
      </w:r>
    </w:p>
    <w:p w14:paraId="0E3741BB" w14:textId="77777777" w:rsidR="00426A6F" w:rsidRPr="00426A6F" w:rsidRDefault="00426A6F" w:rsidP="00426A6F">
      <w:pPr>
        <w:jc w:val="both"/>
      </w:pPr>
      <w:r w:rsidRPr="00426A6F">
        <w:rPr>
          <w:b/>
        </w:rPr>
        <w:t xml:space="preserve">The Palestinian public pension system also offers early retirement benefits. </w:t>
      </w:r>
      <w:r w:rsidRPr="00426A6F">
        <w:t>The mandatory retirement age for Schemes I, II, and IV is 60. In Scheme III, however, the retirement age for a full pension is 50.</w:t>
      </w:r>
      <w:r w:rsidRPr="00426A6F">
        <w:rPr>
          <w:b/>
        </w:rPr>
        <w:t xml:space="preserve"> </w:t>
      </w:r>
      <w:r w:rsidRPr="00426A6F">
        <w:t xml:space="preserve">A civil servant may be eligible for early retirement after completing 15 years of contributory service and reaching the age of 55, while a security service employee may receive a complete pension after spending 15 years of contributory service and reaching 50 years of age. Early retirement at 45 years of age is allowed under certain conditions. Members are also allowed to purchase years of service. Further details on the benefit formula for each scheme are included in </w:t>
      </w:r>
      <w:r w:rsidRPr="00426A6F">
        <w:fldChar w:fldCharType="begin"/>
      </w:r>
      <w:r w:rsidRPr="00426A6F">
        <w:instrText xml:space="preserve"> REF _Ref422155782 \h </w:instrText>
      </w:r>
      <w:r w:rsidRPr="00426A6F">
        <w:fldChar w:fldCharType="separate"/>
      </w:r>
      <w:r w:rsidRPr="00426A6F">
        <w:t xml:space="preserve">Table </w:t>
      </w:r>
      <w:r w:rsidRPr="00426A6F">
        <w:rPr>
          <w:noProof/>
        </w:rPr>
        <w:t>18</w:t>
      </w:r>
      <w:r w:rsidRPr="00426A6F">
        <w:fldChar w:fldCharType="end"/>
      </w:r>
      <w:r w:rsidRPr="00426A6F">
        <w:t>.</w:t>
      </w:r>
    </w:p>
    <w:p w14:paraId="78E14985" w14:textId="77777777" w:rsidR="00426A6F" w:rsidRPr="00426A6F" w:rsidRDefault="00426A6F" w:rsidP="00426A6F">
      <w:pPr>
        <w:spacing w:after="0" w:line="240" w:lineRule="auto"/>
        <w:jc w:val="both"/>
        <w:rPr>
          <w:rFonts w:ascii="Times New Roman" w:eastAsia="Times New Roman" w:hAnsi="Times New Roman" w:cs="Times New Roman"/>
          <w:noProof/>
        </w:rPr>
      </w:pPr>
    </w:p>
    <w:p w14:paraId="75CE620F" w14:textId="77777777" w:rsidR="00426A6F" w:rsidRPr="00426A6F" w:rsidRDefault="00426A6F" w:rsidP="00426A6F">
      <w:pPr>
        <w:keepNext/>
        <w:keepLines/>
        <w:spacing w:after="0" w:line="240" w:lineRule="auto"/>
        <w:jc w:val="center"/>
        <w:rPr>
          <w:b/>
          <w:iCs/>
        </w:rPr>
      </w:pPr>
      <w:bookmarkStart w:id="7" w:name="_Ref422155782"/>
      <w:bookmarkStart w:id="8" w:name="_Toc422385110"/>
      <w:r w:rsidRPr="00426A6F">
        <w:rPr>
          <w:b/>
          <w:iCs/>
        </w:rPr>
        <w:lastRenderedPageBreak/>
        <w:t xml:space="preserve">Table </w:t>
      </w:r>
      <w:r w:rsidRPr="00426A6F">
        <w:rPr>
          <w:b/>
          <w:iCs/>
        </w:rPr>
        <w:fldChar w:fldCharType="begin"/>
      </w:r>
      <w:r w:rsidRPr="00426A6F">
        <w:rPr>
          <w:b/>
          <w:iCs/>
        </w:rPr>
        <w:instrText xml:space="preserve"> SEQ Table \* ARABIC </w:instrText>
      </w:r>
      <w:r w:rsidRPr="00426A6F">
        <w:rPr>
          <w:b/>
          <w:iCs/>
        </w:rPr>
        <w:fldChar w:fldCharType="separate"/>
      </w:r>
      <w:r w:rsidRPr="00426A6F">
        <w:rPr>
          <w:b/>
          <w:iCs/>
          <w:noProof/>
        </w:rPr>
        <w:t>18</w:t>
      </w:r>
      <w:r w:rsidRPr="00426A6F">
        <w:rPr>
          <w:b/>
          <w:iCs/>
          <w:noProof/>
        </w:rPr>
        <w:fldChar w:fldCharType="end"/>
      </w:r>
      <w:bookmarkEnd w:id="7"/>
      <w:r w:rsidRPr="00426A6F">
        <w:rPr>
          <w:b/>
          <w:iCs/>
        </w:rPr>
        <w:t>: Basic pension aggregated indicators for civil servants, security personnel, and nongovernmental employees in the Palestinian territories, December 2013</w:t>
      </w:r>
      <w:bookmarkEnd w:id="8"/>
    </w:p>
    <w:p w14:paraId="0994C546" w14:textId="77777777" w:rsidR="00426A6F" w:rsidRPr="00426A6F" w:rsidRDefault="00426A6F" w:rsidP="00426A6F">
      <w:pPr>
        <w:keepNext/>
        <w:keepLines/>
        <w:spacing w:after="0" w:line="240" w:lineRule="auto"/>
        <w:ind w:left="540"/>
        <w:jc w:val="both"/>
        <w:rPr>
          <w:rFonts w:ascii="Times New Roman" w:eastAsia="Times New Roman" w:hAnsi="Times New Roman" w:cs="Times New Roman"/>
          <w:noProof/>
        </w:rPr>
      </w:pPr>
      <w:r w:rsidRPr="00426A6F">
        <w:rPr>
          <w:rFonts w:ascii="Times New Roman" w:eastAsia="Times New Roman" w:hAnsi="Times New Roman" w:cs="Times New Roman"/>
          <w:noProof/>
        </w:rPr>
        <w:drawing>
          <wp:inline distT="0" distB="0" distL="0" distR="0" wp14:anchorId="4E03AA95" wp14:editId="7DB3F3DC">
            <wp:extent cx="5943600" cy="632861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6328613"/>
                    </a:xfrm>
                    <a:prstGeom prst="rect">
                      <a:avLst/>
                    </a:prstGeom>
                    <a:noFill/>
                    <a:ln>
                      <a:noFill/>
                    </a:ln>
                  </pic:spPr>
                </pic:pic>
              </a:graphicData>
            </a:graphic>
          </wp:inline>
        </w:drawing>
      </w:r>
    </w:p>
    <w:p w14:paraId="2B60D098" w14:textId="77777777" w:rsidR="00426A6F" w:rsidRPr="00426A6F" w:rsidRDefault="00426A6F" w:rsidP="00426A6F">
      <w:pPr>
        <w:spacing w:after="0" w:line="240" w:lineRule="auto"/>
        <w:ind w:left="540"/>
        <w:jc w:val="both"/>
        <w:rPr>
          <w:rFonts w:ascii="Times New Roman" w:eastAsia="Times New Roman" w:hAnsi="Times New Roman" w:cs="Times New Roman"/>
        </w:rPr>
      </w:pPr>
    </w:p>
    <w:p w14:paraId="3C2F199B" w14:textId="77777777" w:rsidR="00426A6F" w:rsidRPr="00426A6F" w:rsidRDefault="00426A6F" w:rsidP="00426A6F">
      <w:pPr>
        <w:jc w:val="both"/>
        <w:rPr>
          <w:rFonts w:ascii="Times New Roman" w:eastAsia="Times New Roman" w:hAnsi="Times New Roman" w:cs="Times New Roman"/>
        </w:rPr>
      </w:pPr>
      <w:r w:rsidRPr="00426A6F">
        <w:rPr>
          <w:b/>
        </w:rPr>
        <w:t xml:space="preserve">The eligibility criteria are broad, hence more than 50 percent of all beneficiaries in the public pension system are either disabled or receive survivorship benefits, but are not retirees. </w:t>
      </w:r>
      <w:r w:rsidRPr="00426A6F">
        <w:t xml:space="preserve">A wide range of cases are entitled to receive benefits from the survivorship program including: (i) the widow or widows of a participant; (ii) children and brothers younger than 21 who were dependent on the participant at the time of death; (iii) any children and brothers between the ages of 22 and 25 years old who were dependent on the participant at the time of death and who are continuing their university or higher education; (iv) any children and brothers who were dependent on the participant at the time of death and are incapable of </w:t>
      </w:r>
      <w:r w:rsidRPr="00426A6F">
        <w:lastRenderedPageBreak/>
        <w:t>earning a living due to health issues; (v) any daughters and sisters who are unmarried, widowed, or divorced; (vi) parents of the participant; and (vii) husband of the participant if, at the time of her death, he was medically unfit to support himself. The high number of survivorship beneficiaries compared to old-age beneficiaries in the Palestinian public pension system is also due to the fact that Schemes I, III, and IV are phasing out,</w:t>
      </w:r>
      <w:r w:rsidRPr="00426A6F">
        <w:rPr>
          <w:vertAlign w:val="superscript"/>
        </w:rPr>
        <w:footnoteReference w:id="7"/>
      </w:r>
      <w:r w:rsidRPr="00426A6F">
        <w:t xml:space="preserve"> while Scheme II is still very young.</w:t>
      </w:r>
      <w:r w:rsidRPr="00426A6F">
        <w:rPr>
          <w:vertAlign w:val="superscript"/>
        </w:rPr>
        <w:footnoteReference w:id="8"/>
      </w:r>
      <w:r w:rsidRPr="00426A6F">
        <w:t xml:space="preserve"> On the other hand, the number of disability beneficiaries has been decreasing over the last few years, as the qualifying conditions were made more stringent. According to the l</w:t>
      </w:r>
      <w:r w:rsidRPr="00426A6F">
        <w:rPr>
          <w:color w:val="000000"/>
        </w:rPr>
        <w:t>aw, one can receive a disability benefit when he/she is: (i) under the age of 60; (ii) not eligible for early retirement or old-age retirement; and (iii) approved by the medical committee.</w:t>
      </w:r>
      <w:r w:rsidRPr="00426A6F">
        <w:rPr>
          <w:color w:val="000000"/>
          <w:vertAlign w:val="superscript"/>
        </w:rPr>
        <w:footnoteReference w:id="9"/>
      </w:r>
      <w:r w:rsidRPr="00426A6F">
        <w:rPr>
          <w:color w:val="000000"/>
        </w:rPr>
        <w:t xml:space="preserve"> Details on all four schemes are provided in </w:t>
      </w:r>
      <w:r w:rsidRPr="00426A6F">
        <w:fldChar w:fldCharType="begin"/>
      </w:r>
      <w:r w:rsidRPr="00426A6F">
        <w:instrText xml:space="preserve"> REF _Ref422155943 \h </w:instrText>
      </w:r>
      <w:r w:rsidRPr="00426A6F">
        <w:fldChar w:fldCharType="separate"/>
      </w:r>
      <w:r w:rsidRPr="00426A6F">
        <w:t xml:space="preserve">Table </w:t>
      </w:r>
      <w:r w:rsidRPr="00426A6F">
        <w:rPr>
          <w:noProof/>
        </w:rPr>
        <w:t>19</w:t>
      </w:r>
      <w:r w:rsidRPr="00426A6F">
        <w:fldChar w:fldCharType="end"/>
      </w:r>
      <w:r w:rsidRPr="00426A6F">
        <w:t xml:space="preserve"> and </w:t>
      </w:r>
      <w:r w:rsidRPr="00426A6F">
        <w:fldChar w:fldCharType="begin"/>
      </w:r>
      <w:r w:rsidRPr="00426A6F">
        <w:instrText xml:space="preserve"> REF _Ref422155946 \h </w:instrText>
      </w:r>
      <w:r w:rsidRPr="00426A6F">
        <w:fldChar w:fldCharType="separate"/>
      </w:r>
      <w:r w:rsidRPr="00426A6F">
        <w:t xml:space="preserve">Table </w:t>
      </w:r>
      <w:r w:rsidRPr="00426A6F">
        <w:rPr>
          <w:noProof/>
        </w:rPr>
        <w:t>20</w:t>
      </w:r>
      <w:r w:rsidRPr="00426A6F">
        <w:fldChar w:fldCharType="end"/>
      </w:r>
      <w:r w:rsidRPr="00426A6F">
        <w:t>, where indicators of two representative months (December 2013 and September 2014) are presented.</w:t>
      </w:r>
    </w:p>
    <w:p w14:paraId="75F62699" w14:textId="77777777" w:rsidR="00426A6F" w:rsidRPr="00426A6F" w:rsidRDefault="00426A6F" w:rsidP="00426A6F">
      <w:pPr>
        <w:keepNext/>
        <w:keepLines/>
        <w:spacing w:after="0" w:line="240" w:lineRule="auto"/>
        <w:jc w:val="center"/>
        <w:rPr>
          <w:iCs/>
        </w:rPr>
      </w:pPr>
      <w:bookmarkStart w:id="9" w:name="_Ref422155943"/>
      <w:bookmarkStart w:id="10" w:name="_Toc422385111"/>
      <w:r w:rsidRPr="00426A6F">
        <w:rPr>
          <w:b/>
          <w:iCs/>
        </w:rPr>
        <w:lastRenderedPageBreak/>
        <w:t xml:space="preserve">Table </w:t>
      </w:r>
      <w:r w:rsidRPr="00426A6F">
        <w:rPr>
          <w:b/>
          <w:iCs/>
        </w:rPr>
        <w:fldChar w:fldCharType="begin"/>
      </w:r>
      <w:r w:rsidRPr="00426A6F">
        <w:rPr>
          <w:b/>
          <w:iCs/>
        </w:rPr>
        <w:instrText xml:space="preserve"> SEQ Table \* ARABIC </w:instrText>
      </w:r>
      <w:r w:rsidRPr="00426A6F">
        <w:rPr>
          <w:b/>
          <w:iCs/>
        </w:rPr>
        <w:fldChar w:fldCharType="separate"/>
      </w:r>
      <w:r w:rsidRPr="00426A6F">
        <w:rPr>
          <w:b/>
          <w:iCs/>
          <w:noProof/>
        </w:rPr>
        <w:t>19</w:t>
      </w:r>
      <w:r w:rsidRPr="00426A6F">
        <w:rPr>
          <w:b/>
          <w:iCs/>
          <w:noProof/>
        </w:rPr>
        <w:fldChar w:fldCharType="end"/>
      </w:r>
      <w:bookmarkEnd w:id="9"/>
      <w:r w:rsidRPr="00426A6F">
        <w:rPr>
          <w:b/>
          <w:iCs/>
        </w:rPr>
        <w:t>: Contributors, beneficiaries, wages, and pensions, December 2013</w:t>
      </w:r>
      <w:bookmarkEnd w:id="10"/>
    </w:p>
    <w:tbl>
      <w:tblPr>
        <w:tblW w:w="9216" w:type="dxa"/>
        <w:jc w:val="center"/>
        <w:tblLook w:val="04A0" w:firstRow="1" w:lastRow="0" w:firstColumn="1" w:lastColumn="0" w:noHBand="0" w:noVBand="1"/>
      </w:tblPr>
      <w:tblGrid>
        <w:gridCol w:w="3400"/>
        <w:gridCol w:w="1500"/>
        <w:gridCol w:w="2000"/>
        <w:gridCol w:w="2316"/>
      </w:tblGrid>
      <w:tr w:rsidR="00426A6F" w:rsidRPr="00426A6F" w14:paraId="47005C20" w14:textId="77777777" w:rsidTr="00DF20A2">
        <w:trPr>
          <w:trHeight w:val="288"/>
          <w:jc w:val="center"/>
        </w:trPr>
        <w:tc>
          <w:tcPr>
            <w:tcW w:w="3400" w:type="dxa"/>
            <w:vMerge w:val="restart"/>
            <w:tcBorders>
              <w:top w:val="single" w:sz="8" w:space="0" w:color="auto"/>
              <w:left w:val="single" w:sz="8" w:space="0" w:color="auto"/>
              <w:bottom w:val="single" w:sz="8" w:space="0" w:color="000000"/>
              <w:right w:val="single" w:sz="8" w:space="0" w:color="auto"/>
            </w:tcBorders>
            <w:shd w:val="clear" w:color="000000" w:fill="215867"/>
            <w:noWrap/>
            <w:vAlign w:val="center"/>
            <w:hideMark/>
          </w:tcPr>
          <w:p w14:paraId="7F33ACDF" w14:textId="77777777" w:rsidR="00426A6F" w:rsidRPr="00426A6F" w:rsidRDefault="00426A6F" w:rsidP="00426A6F">
            <w:pPr>
              <w:keepNext/>
              <w:keepLines/>
              <w:spacing w:after="0" w:line="240" w:lineRule="auto"/>
              <w:jc w:val="center"/>
              <w:rPr>
                <w:rFonts w:eastAsia="Times New Roman" w:cs="Times New Roman"/>
                <w:b/>
                <w:bCs/>
                <w:color w:val="FFFFFF"/>
                <w:sz w:val="20"/>
                <w:szCs w:val="20"/>
              </w:rPr>
            </w:pPr>
            <w:r w:rsidRPr="00426A6F">
              <w:rPr>
                <w:rFonts w:eastAsia="Times New Roman" w:cs="Times New Roman"/>
                <w:b/>
                <w:bCs/>
                <w:color w:val="FFFFFF"/>
                <w:sz w:val="20"/>
                <w:szCs w:val="20"/>
              </w:rPr>
              <w:t>Scheme I</w:t>
            </w:r>
          </w:p>
        </w:tc>
        <w:tc>
          <w:tcPr>
            <w:tcW w:w="1500" w:type="dxa"/>
            <w:vMerge w:val="restart"/>
            <w:tcBorders>
              <w:top w:val="single" w:sz="8" w:space="0" w:color="auto"/>
              <w:left w:val="single" w:sz="8" w:space="0" w:color="auto"/>
              <w:bottom w:val="single" w:sz="8" w:space="0" w:color="000000"/>
              <w:right w:val="single" w:sz="8" w:space="0" w:color="auto"/>
            </w:tcBorders>
            <w:shd w:val="clear" w:color="000000" w:fill="215867"/>
            <w:noWrap/>
            <w:vAlign w:val="center"/>
            <w:hideMark/>
          </w:tcPr>
          <w:p w14:paraId="7C7BD96D" w14:textId="77777777" w:rsidR="00426A6F" w:rsidRPr="00426A6F" w:rsidRDefault="00426A6F" w:rsidP="00426A6F">
            <w:pPr>
              <w:keepNext/>
              <w:keepLines/>
              <w:spacing w:after="0" w:line="240" w:lineRule="auto"/>
              <w:jc w:val="center"/>
              <w:rPr>
                <w:rFonts w:eastAsia="Times New Roman" w:cs="Times New Roman"/>
                <w:b/>
                <w:bCs/>
                <w:color w:val="FFFFFF"/>
                <w:sz w:val="20"/>
                <w:szCs w:val="20"/>
              </w:rPr>
            </w:pPr>
            <w:r w:rsidRPr="00426A6F">
              <w:rPr>
                <w:rFonts w:eastAsia="Times New Roman" w:cs="Times New Roman"/>
                <w:b/>
                <w:bCs/>
                <w:color w:val="FFFFFF"/>
                <w:sz w:val="20"/>
                <w:szCs w:val="20"/>
              </w:rPr>
              <w:t>Number</w:t>
            </w:r>
          </w:p>
        </w:tc>
        <w:tc>
          <w:tcPr>
            <w:tcW w:w="2000" w:type="dxa"/>
            <w:tcBorders>
              <w:top w:val="single" w:sz="8" w:space="0" w:color="auto"/>
              <w:left w:val="nil"/>
              <w:bottom w:val="nil"/>
              <w:right w:val="single" w:sz="8" w:space="0" w:color="auto"/>
            </w:tcBorders>
            <w:shd w:val="clear" w:color="000000" w:fill="215867"/>
            <w:noWrap/>
            <w:vAlign w:val="center"/>
            <w:hideMark/>
          </w:tcPr>
          <w:p w14:paraId="36511286" w14:textId="77777777" w:rsidR="00426A6F" w:rsidRPr="00426A6F" w:rsidRDefault="00426A6F" w:rsidP="00426A6F">
            <w:pPr>
              <w:keepNext/>
              <w:keepLines/>
              <w:spacing w:after="0" w:line="240" w:lineRule="auto"/>
              <w:jc w:val="center"/>
              <w:rPr>
                <w:rFonts w:eastAsia="Times New Roman" w:cs="Times New Roman"/>
                <w:b/>
                <w:bCs/>
                <w:color w:val="FFFFFF"/>
                <w:sz w:val="20"/>
                <w:szCs w:val="20"/>
              </w:rPr>
            </w:pPr>
            <w:r w:rsidRPr="00426A6F">
              <w:rPr>
                <w:rFonts w:eastAsia="Times New Roman" w:cs="Times New Roman"/>
                <w:b/>
                <w:bCs/>
                <w:color w:val="FFFFFF"/>
                <w:sz w:val="20"/>
                <w:szCs w:val="20"/>
              </w:rPr>
              <w:t>Total wages /</w:t>
            </w:r>
          </w:p>
        </w:tc>
        <w:tc>
          <w:tcPr>
            <w:tcW w:w="2316" w:type="dxa"/>
            <w:tcBorders>
              <w:top w:val="single" w:sz="8" w:space="0" w:color="auto"/>
              <w:left w:val="nil"/>
              <w:bottom w:val="nil"/>
              <w:right w:val="single" w:sz="8" w:space="0" w:color="auto"/>
            </w:tcBorders>
            <w:shd w:val="clear" w:color="000000" w:fill="215867"/>
            <w:noWrap/>
            <w:vAlign w:val="center"/>
            <w:hideMark/>
          </w:tcPr>
          <w:p w14:paraId="5F40761F" w14:textId="77777777" w:rsidR="00426A6F" w:rsidRPr="00426A6F" w:rsidRDefault="00426A6F" w:rsidP="00426A6F">
            <w:pPr>
              <w:keepNext/>
              <w:keepLines/>
              <w:spacing w:after="0" w:line="240" w:lineRule="auto"/>
              <w:jc w:val="center"/>
              <w:rPr>
                <w:rFonts w:eastAsia="Times New Roman" w:cs="Times New Roman"/>
                <w:b/>
                <w:bCs/>
                <w:color w:val="FFFFFF"/>
                <w:sz w:val="20"/>
                <w:szCs w:val="20"/>
              </w:rPr>
            </w:pPr>
            <w:r w:rsidRPr="00426A6F">
              <w:rPr>
                <w:rFonts w:eastAsia="Times New Roman" w:cs="Times New Roman"/>
                <w:b/>
                <w:bCs/>
                <w:color w:val="FFFFFF"/>
                <w:sz w:val="20"/>
                <w:szCs w:val="20"/>
              </w:rPr>
              <w:t xml:space="preserve">Average </w:t>
            </w:r>
          </w:p>
        </w:tc>
      </w:tr>
      <w:tr w:rsidR="00426A6F" w:rsidRPr="00426A6F" w14:paraId="118BD84B" w14:textId="77777777" w:rsidTr="00DF20A2">
        <w:trPr>
          <w:trHeight w:val="300"/>
          <w:jc w:val="center"/>
        </w:trPr>
        <w:tc>
          <w:tcPr>
            <w:tcW w:w="3400" w:type="dxa"/>
            <w:vMerge/>
            <w:tcBorders>
              <w:top w:val="single" w:sz="8" w:space="0" w:color="auto"/>
              <w:left w:val="single" w:sz="8" w:space="0" w:color="auto"/>
              <w:bottom w:val="single" w:sz="8" w:space="0" w:color="000000"/>
              <w:right w:val="single" w:sz="8" w:space="0" w:color="auto"/>
            </w:tcBorders>
            <w:vAlign w:val="center"/>
            <w:hideMark/>
          </w:tcPr>
          <w:p w14:paraId="73DB21CC" w14:textId="77777777" w:rsidR="00426A6F" w:rsidRPr="00426A6F" w:rsidRDefault="00426A6F" w:rsidP="00426A6F">
            <w:pPr>
              <w:keepNext/>
              <w:keepLines/>
              <w:spacing w:after="0" w:line="240" w:lineRule="auto"/>
              <w:jc w:val="both"/>
              <w:rPr>
                <w:rFonts w:eastAsia="Times New Roman" w:cs="Times New Roman"/>
                <w:b/>
                <w:bCs/>
                <w:color w:val="FFFFFF"/>
                <w:sz w:val="20"/>
                <w:szCs w:val="20"/>
              </w:rPr>
            </w:pPr>
          </w:p>
        </w:tc>
        <w:tc>
          <w:tcPr>
            <w:tcW w:w="1500" w:type="dxa"/>
            <w:vMerge/>
            <w:tcBorders>
              <w:top w:val="single" w:sz="8" w:space="0" w:color="auto"/>
              <w:left w:val="single" w:sz="8" w:space="0" w:color="auto"/>
              <w:bottom w:val="single" w:sz="8" w:space="0" w:color="000000"/>
              <w:right w:val="single" w:sz="8" w:space="0" w:color="auto"/>
            </w:tcBorders>
            <w:vAlign w:val="center"/>
            <w:hideMark/>
          </w:tcPr>
          <w:p w14:paraId="38AC77B6" w14:textId="77777777" w:rsidR="00426A6F" w:rsidRPr="00426A6F" w:rsidRDefault="00426A6F" w:rsidP="00426A6F">
            <w:pPr>
              <w:keepNext/>
              <w:keepLines/>
              <w:spacing w:after="0" w:line="240" w:lineRule="auto"/>
              <w:jc w:val="both"/>
              <w:rPr>
                <w:rFonts w:eastAsia="Times New Roman" w:cs="Times New Roman"/>
                <w:b/>
                <w:bCs/>
                <w:color w:val="FFFFFF"/>
                <w:sz w:val="20"/>
                <w:szCs w:val="20"/>
              </w:rPr>
            </w:pPr>
          </w:p>
        </w:tc>
        <w:tc>
          <w:tcPr>
            <w:tcW w:w="2000" w:type="dxa"/>
            <w:tcBorders>
              <w:top w:val="nil"/>
              <w:left w:val="nil"/>
              <w:bottom w:val="single" w:sz="8" w:space="0" w:color="auto"/>
              <w:right w:val="single" w:sz="8" w:space="0" w:color="auto"/>
            </w:tcBorders>
            <w:shd w:val="clear" w:color="000000" w:fill="215867"/>
            <w:noWrap/>
            <w:vAlign w:val="center"/>
            <w:hideMark/>
          </w:tcPr>
          <w:p w14:paraId="4B794A79" w14:textId="77777777" w:rsidR="00426A6F" w:rsidRPr="00426A6F" w:rsidRDefault="00426A6F" w:rsidP="00426A6F">
            <w:pPr>
              <w:keepNext/>
              <w:keepLines/>
              <w:spacing w:after="0" w:line="240" w:lineRule="auto"/>
              <w:jc w:val="center"/>
              <w:rPr>
                <w:rFonts w:eastAsia="Times New Roman" w:cs="Times New Roman"/>
                <w:b/>
                <w:bCs/>
                <w:color w:val="FFFFFF"/>
                <w:sz w:val="20"/>
                <w:szCs w:val="20"/>
              </w:rPr>
            </w:pPr>
            <w:r w:rsidRPr="00426A6F">
              <w:rPr>
                <w:rFonts w:eastAsia="Times New Roman" w:cs="Times New Roman"/>
                <w:b/>
                <w:bCs/>
                <w:color w:val="FFFFFF"/>
                <w:sz w:val="20"/>
                <w:szCs w:val="20"/>
              </w:rPr>
              <w:t>pensions (NIS)</w:t>
            </w:r>
          </w:p>
        </w:tc>
        <w:tc>
          <w:tcPr>
            <w:tcW w:w="2316" w:type="dxa"/>
            <w:tcBorders>
              <w:top w:val="nil"/>
              <w:left w:val="nil"/>
              <w:bottom w:val="single" w:sz="8" w:space="0" w:color="auto"/>
              <w:right w:val="single" w:sz="8" w:space="0" w:color="auto"/>
            </w:tcBorders>
            <w:shd w:val="clear" w:color="000000" w:fill="215867"/>
            <w:noWrap/>
            <w:vAlign w:val="center"/>
            <w:hideMark/>
          </w:tcPr>
          <w:p w14:paraId="072AD722" w14:textId="77777777" w:rsidR="00426A6F" w:rsidRPr="00426A6F" w:rsidRDefault="00426A6F" w:rsidP="00426A6F">
            <w:pPr>
              <w:keepNext/>
              <w:keepLines/>
              <w:spacing w:after="0" w:line="240" w:lineRule="auto"/>
              <w:jc w:val="center"/>
              <w:rPr>
                <w:rFonts w:eastAsia="Times New Roman" w:cs="Times New Roman"/>
                <w:b/>
                <w:bCs/>
                <w:color w:val="FFFFFF"/>
                <w:sz w:val="20"/>
                <w:szCs w:val="20"/>
              </w:rPr>
            </w:pPr>
            <w:r w:rsidRPr="00426A6F">
              <w:rPr>
                <w:rFonts w:eastAsia="Times New Roman" w:cs="Times New Roman"/>
                <w:b/>
                <w:bCs/>
                <w:color w:val="FFFFFF"/>
                <w:sz w:val="20"/>
                <w:szCs w:val="20"/>
              </w:rPr>
              <w:t>wages/ pensions (NIS)</w:t>
            </w:r>
          </w:p>
        </w:tc>
      </w:tr>
      <w:tr w:rsidR="00426A6F" w:rsidRPr="00426A6F" w14:paraId="33FDA36C" w14:textId="77777777" w:rsidTr="00DF20A2">
        <w:trPr>
          <w:trHeight w:val="288"/>
          <w:jc w:val="center"/>
        </w:trPr>
        <w:tc>
          <w:tcPr>
            <w:tcW w:w="3400" w:type="dxa"/>
            <w:tcBorders>
              <w:top w:val="nil"/>
              <w:left w:val="single" w:sz="8" w:space="0" w:color="auto"/>
              <w:bottom w:val="single" w:sz="8" w:space="0" w:color="auto"/>
              <w:right w:val="single" w:sz="8" w:space="0" w:color="auto"/>
            </w:tcBorders>
            <w:shd w:val="pct12" w:color="000000" w:fill="D9D9D9"/>
            <w:noWrap/>
            <w:vAlign w:val="center"/>
            <w:hideMark/>
          </w:tcPr>
          <w:p w14:paraId="3CF57DC7" w14:textId="77777777" w:rsidR="00426A6F" w:rsidRPr="00426A6F" w:rsidRDefault="00426A6F" w:rsidP="00426A6F">
            <w:pPr>
              <w:keepNext/>
              <w:keepLines/>
              <w:spacing w:after="0" w:line="240" w:lineRule="auto"/>
              <w:jc w:val="center"/>
              <w:rPr>
                <w:rFonts w:eastAsia="Times New Roman" w:cs="Times New Roman"/>
                <w:b/>
                <w:bCs/>
                <w:color w:val="000000"/>
                <w:sz w:val="20"/>
                <w:szCs w:val="20"/>
              </w:rPr>
            </w:pPr>
            <w:r w:rsidRPr="00426A6F">
              <w:rPr>
                <w:rFonts w:eastAsia="Times New Roman" w:cs="Times New Roman"/>
                <w:b/>
                <w:bCs/>
                <w:color w:val="000000"/>
                <w:sz w:val="20"/>
                <w:szCs w:val="20"/>
              </w:rPr>
              <w:t>Active contributors</w:t>
            </w:r>
          </w:p>
        </w:tc>
        <w:tc>
          <w:tcPr>
            <w:tcW w:w="1500" w:type="dxa"/>
            <w:tcBorders>
              <w:top w:val="nil"/>
              <w:left w:val="nil"/>
              <w:bottom w:val="single" w:sz="8" w:space="0" w:color="auto"/>
              <w:right w:val="single" w:sz="8" w:space="0" w:color="auto"/>
            </w:tcBorders>
            <w:shd w:val="pct12" w:color="000000" w:fill="D9D9D9"/>
            <w:vAlign w:val="center"/>
            <w:hideMark/>
          </w:tcPr>
          <w:p w14:paraId="30E70E8A" w14:textId="77777777" w:rsidR="00426A6F" w:rsidRPr="00426A6F" w:rsidRDefault="00426A6F" w:rsidP="00426A6F">
            <w:pPr>
              <w:keepNext/>
              <w:keepLines/>
              <w:spacing w:after="0" w:line="240" w:lineRule="auto"/>
              <w:jc w:val="center"/>
              <w:rPr>
                <w:rFonts w:eastAsia="Times New Roman" w:cs="Times New Roman"/>
                <w:b/>
                <w:bCs/>
                <w:color w:val="000000"/>
                <w:sz w:val="20"/>
                <w:szCs w:val="20"/>
              </w:rPr>
            </w:pPr>
            <w:r w:rsidRPr="00426A6F">
              <w:rPr>
                <w:rFonts w:eastAsia="Times New Roman" w:cs="Times New Roman"/>
                <w:b/>
                <w:bCs/>
                <w:color w:val="000000"/>
                <w:sz w:val="20"/>
                <w:szCs w:val="20"/>
              </w:rPr>
              <w:t>6,455</w:t>
            </w:r>
          </w:p>
        </w:tc>
        <w:tc>
          <w:tcPr>
            <w:tcW w:w="2000" w:type="dxa"/>
            <w:tcBorders>
              <w:top w:val="nil"/>
              <w:left w:val="nil"/>
              <w:bottom w:val="single" w:sz="8" w:space="0" w:color="auto"/>
              <w:right w:val="single" w:sz="8" w:space="0" w:color="auto"/>
            </w:tcBorders>
            <w:shd w:val="pct12" w:color="000000" w:fill="D9D9D9"/>
            <w:vAlign w:val="center"/>
            <w:hideMark/>
          </w:tcPr>
          <w:p w14:paraId="2B259668" w14:textId="77777777" w:rsidR="00426A6F" w:rsidRPr="00426A6F" w:rsidRDefault="00426A6F" w:rsidP="00426A6F">
            <w:pPr>
              <w:keepNext/>
              <w:keepLines/>
              <w:spacing w:after="0" w:line="240" w:lineRule="auto"/>
              <w:jc w:val="center"/>
              <w:rPr>
                <w:rFonts w:eastAsia="Times New Roman" w:cs="Times New Roman"/>
                <w:b/>
                <w:bCs/>
                <w:color w:val="000000"/>
                <w:sz w:val="20"/>
                <w:szCs w:val="20"/>
              </w:rPr>
            </w:pPr>
            <w:r w:rsidRPr="00426A6F">
              <w:rPr>
                <w:rFonts w:eastAsia="Times New Roman" w:cs="Times New Roman"/>
                <w:b/>
                <w:bCs/>
                <w:color w:val="000000"/>
                <w:sz w:val="20"/>
                <w:szCs w:val="20"/>
              </w:rPr>
              <w:t>23,924,281.51</w:t>
            </w:r>
          </w:p>
        </w:tc>
        <w:tc>
          <w:tcPr>
            <w:tcW w:w="2316" w:type="dxa"/>
            <w:tcBorders>
              <w:top w:val="nil"/>
              <w:left w:val="nil"/>
              <w:bottom w:val="single" w:sz="8" w:space="0" w:color="auto"/>
              <w:right w:val="single" w:sz="8" w:space="0" w:color="auto"/>
            </w:tcBorders>
            <w:shd w:val="pct12" w:color="000000" w:fill="D9D9D9"/>
            <w:vAlign w:val="center"/>
            <w:hideMark/>
          </w:tcPr>
          <w:p w14:paraId="5C07D830" w14:textId="77777777" w:rsidR="00426A6F" w:rsidRPr="00426A6F" w:rsidRDefault="00426A6F" w:rsidP="00426A6F">
            <w:pPr>
              <w:keepNext/>
              <w:keepLines/>
              <w:spacing w:after="0" w:line="240" w:lineRule="auto"/>
              <w:jc w:val="center"/>
              <w:rPr>
                <w:rFonts w:eastAsia="Times New Roman" w:cs="Times New Roman"/>
                <w:b/>
                <w:bCs/>
                <w:color w:val="000000"/>
                <w:sz w:val="20"/>
                <w:szCs w:val="20"/>
              </w:rPr>
            </w:pPr>
            <w:r w:rsidRPr="00426A6F">
              <w:rPr>
                <w:rFonts w:eastAsia="Times New Roman" w:cs="Times New Roman"/>
                <w:b/>
                <w:bCs/>
                <w:color w:val="000000"/>
                <w:sz w:val="20"/>
                <w:szCs w:val="20"/>
              </w:rPr>
              <w:t>3,706</w:t>
            </w:r>
          </w:p>
        </w:tc>
      </w:tr>
      <w:tr w:rsidR="00426A6F" w:rsidRPr="00426A6F" w14:paraId="4019A08B" w14:textId="77777777" w:rsidTr="00DF20A2">
        <w:trPr>
          <w:trHeight w:val="288"/>
          <w:jc w:val="center"/>
        </w:trPr>
        <w:tc>
          <w:tcPr>
            <w:tcW w:w="3400" w:type="dxa"/>
            <w:tcBorders>
              <w:top w:val="nil"/>
              <w:left w:val="single" w:sz="8" w:space="0" w:color="auto"/>
              <w:bottom w:val="single" w:sz="8" w:space="0" w:color="auto"/>
              <w:right w:val="single" w:sz="8" w:space="0" w:color="auto"/>
            </w:tcBorders>
            <w:shd w:val="clear" w:color="000000" w:fill="FFFFFF"/>
            <w:noWrap/>
            <w:vAlign w:val="center"/>
            <w:hideMark/>
          </w:tcPr>
          <w:p w14:paraId="247334FC"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Old age and early retirement</w:t>
            </w:r>
          </w:p>
        </w:tc>
        <w:tc>
          <w:tcPr>
            <w:tcW w:w="1500" w:type="dxa"/>
            <w:tcBorders>
              <w:top w:val="nil"/>
              <w:left w:val="nil"/>
              <w:bottom w:val="single" w:sz="8" w:space="0" w:color="auto"/>
              <w:right w:val="single" w:sz="8" w:space="0" w:color="auto"/>
            </w:tcBorders>
            <w:shd w:val="clear" w:color="000000" w:fill="FFFFFF"/>
            <w:vAlign w:val="center"/>
            <w:hideMark/>
          </w:tcPr>
          <w:p w14:paraId="72C47DB6"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4,954</w:t>
            </w:r>
          </w:p>
        </w:tc>
        <w:tc>
          <w:tcPr>
            <w:tcW w:w="2000" w:type="dxa"/>
            <w:tcBorders>
              <w:top w:val="nil"/>
              <w:left w:val="nil"/>
              <w:bottom w:val="single" w:sz="8" w:space="0" w:color="auto"/>
              <w:right w:val="single" w:sz="8" w:space="0" w:color="auto"/>
            </w:tcBorders>
            <w:shd w:val="clear" w:color="000000" w:fill="FFFFFF"/>
            <w:vAlign w:val="center"/>
            <w:hideMark/>
          </w:tcPr>
          <w:p w14:paraId="7717AAF8"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12,476,757.29</w:t>
            </w:r>
          </w:p>
        </w:tc>
        <w:tc>
          <w:tcPr>
            <w:tcW w:w="2316" w:type="dxa"/>
            <w:tcBorders>
              <w:top w:val="nil"/>
              <w:left w:val="nil"/>
              <w:bottom w:val="single" w:sz="8" w:space="0" w:color="auto"/>
              <w:right w:val="single" w:sz="8" w:space="0" w:color="auto"/>
            </w:tcBorders>
            <w:shd w:val="clear" w:color="000000" w:fill="FFFFFF"/>
            <w:vAlign w:val="center"/>
            <w:hideMark/>
          </w:tcPr>
          <w:p w14:paraId="6206F609"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2,519</w:t>
            </w:r>
          </w:p>
        </w:tc>
      </w:tr>
      <w:tr w:rsidR="00426A6F" w:rsidRPr="00426A6F" w14:paraId="7AE9B2A6" w14:textId="77777777" w:rsidTr="00DF20A2">
        <w:trPr>
          <w:trHeight w:val="288"/>
          <w:jc w:val="center"/>
        </w:trPr>
        <w:tc>
          <w:tcPr>
            <w:tcW w:w="3400" w:type="dxa"/>
            <w:tcBorders>
              <w:top w:val="nil"/>
              <w:left w:val="single" w:sz="8" w:space="0" w:color="auto"/>
              <w:bottom w:val="single" w:sz="8" w:space="0" w:color="auto"/>
              <w:right w:val="single" w:sz="8" w:space="0" w:color="auto"/>
            </w:tcBorders>
            <w:shd w:val="clear" w:color="000000" w:fill="FFFFFF"/>
            <w:noWrap/>
            <w:vAlign w:val="center"/>
            <w:hideMark/>
          </w:tcPr>
          <w:p w14:paraId="3230D634"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Disability</w:t>
            </w:r>
          </w:p>
        </w:tc>
        <w:tc>
          <w:tcPr>
            <w:tcW w:w="1500" w:type="dxa"/>
            <w:tcBorders>
              <w:top w:val="nil"/>
              <w:left w:val="nil"/>
              <w:bottom w:val="single" w:sz="8" w:space="0" w:color="auto"/>
              <w:right w:val="single" w:sz="8" w:space="0" w:color="auto"/>
            </w:tcBorders>
            <w:shd w:val="clear" w:color="000000" w:fill="FFFFFF"/>
            <w:vAlign w:val="center"/>
            <w:hideMark/>
          </w:tcPr>
          <w:p w14:paraId="16965D56"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347</w:t>
            </w:r>
          </w:p>
        </w:tc>
        <w:tc>
          <w:tcPr>
            <w:tcW w:w="2000" w:type="dxa"/>
            <w:tcBorders>
              <w:top w:val="nil"/>
              <w:left w:val="nil"/>
              <w:bottom w:val="single" w:sz="8" w:space="0" w:color="auto"/>
              <w:right w:val="single" w:sz="8" w:space="0" w:color="auto"/>
            </w:tcBorders>
            <w:shd w:val="clear" w:color="000000" w:fill="FFFFFF"/>
            <w:vAlign w:val="center"/>
            <w:hideMark/>
          </w:tcPr>
          <w:p w14:paraId="21877AEB"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582,532.85</w:t>
            </w:r>
          </w:p>
        </w:tc>
        <w:tc>
          <w:tcPr>
            <w:tcW w:w="2316" w:type="dxa"/>
            <w:tcBorders>
              <w:top w:val="nil"/>
              <w:left w:val="nil"/>
              <w:bottom w:val="single" w:sz="8" w:space="0" w:color="auto"/>
              <w:right w:val="single" w:sz="8" w:space="0" w:color="auto"/>
            </w:tcBorders>
            <w:shd w:val="clear" w:color="000000" w:fill="FFFFFF"/>
            <w:vAlign w:val="center"/>
            <w:hideMark/>
          </w:tcPr>
          <w:p w14:paraId="65835891"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1,679</w:t>
            </w:r>
          </w:p>
        </w:tc>
      </w:tr>
      <w:tr w:rsidR="00426A6F" w:rsidRPr="00426A6F" w14:paraId="15649C8E" w14:textId="77777777" w:rsidTr="00DF20A2">
        <w:trPr>
          <w:trHeight w:val="288"/>
          <w:jc w:val="center"/>
        </w:trPr>
        <w:tc>
          <w:tcPr>
            <w:tcW w:w="3400" w:type="dxa"/>
            <w:tcBorders>
              <w:top w:val="nil"/>
              <w:left w:val="single" w:sz="8" w:space="0" w:color="auto"/>
              <w:bottom w:val="single" w:sz="8" w:space="0" w:color="auto"/>
              <w:right w:val="single" w:sz="8" w:space="0" w:color="auto"/>
            </w:tcBorders>
            <w:shd w:val="clear" w:color="000000" w:fill="FFFFFF"/>
            <w:noWrap/>
            <w:vAlign w:val="center"/>
            <w:hideMark/>
          </w:tcPr>
          <w:p w14:paraId="727793CC"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Survivors</w:t>
            </w:r>
          </w:p>
        </w:tc>
        <w:tc>
          <w:tcPr>
            <w:tcW w:w="1500" w:type="dxa"/>
            <w:tcBorders>
              <w:top w:val="nil"/>
              <w:left w:val="nil"/>
              <w:bottom w:val="single" w:sz="8" w:space="0" w:color="auto"/>
              <w:right w:val="single" w:sz="8" w:space="0" w:color="auto"/>
            </w:tcBorders>
            <w:shd w:val="clear" w:color="000000" w:fill="FFFFFF"/>
            <w:vAlign w:val="center"/>
            <w:hideMark/>
          </w:tcPr>
          <w:p w14:paraId="706DDEEF"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6,951</w:t>
            </w:r>
          </w:p>
        </w:tc>
        <w:tc>
          <w:tcPr>
            <w:tcW w:w="2000" w:type="dxa"/>
            <w:tcBorders>
              <w:top w:val="nil"/>
              <w:left w:val="nil"/>
              <w:bottom w:val="single" w:sz="8" w:space="0" w:color="auto"/>
              <w:right w:val="single" w:sz="8" w:space="0" w:color="auto"/>
            </w:tcBorders>
            <w:shd w:val="clear" w:color="000000" w:fill="FFFFFF"/>
            <w:vAlign w:val="center"/>
            <w:hideMark/>
          </w:tcPr>
          <w:p w14:paraId="420E7155"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3,912,950.04</w:t>
            </w:r>
          </w:p>
        </w:tc>
        <w:tc>
          <w:tcPr>
            <w:tcW w:w="2316" w:type="dxa"/>
            <w:tcBorders>
              <w:top w:val="nil"/>
              <w:left w:val="nil"/>
              <w:bottom w:val="single" w:sz="8" w:space="0" w:color="auto"/>
              <w:right w:val="single" w:sz="8" w:space="0" w:color="auto"/>
            </w:tcBorders>
            <w:shd w:val="clear" w:color="000000" w:fill="FFFFFF"/>
            <w:vAlign w:val="center"/>
            <w:hideMark/>
          </w:tcPr>
          <w:p w14:paraId="3F1EA31E"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563</w:t>
            </w:r>
          </w:p>
        </w:tc>
      </w:tr>
      <w:tr w:rsidR="00426A6F" w:rsidRPr="00426A6F" w14:paraId="10CB63DA" w14:textId="77777777" w:rsidTr="00DF20A2">
        <w:trPr>
          <w:trHeight w:val="288"/>
          <w:jc w:val="center"/>
        </w:trPr>
        <w:tc>
          <w:tcPr>
            <w:tcW w:w="3400" w:type="dxa"/>
            <w:tcBorders>
              <w:top w:val="nil"/>
              <w:left w:val="single" w:sz="8" w:space="0" w:color="auto"/>
              <w:bottom w:val="single" w:sz="8" w:space="0" w:color="auto"/>
              <w:right w:val="single" w:sz="8" w:space="0" w:color="auto"/>
            </w:tcBorders>
            <w:shd w:val="clear" w:color="000000" w:fill="D8D8D8"/>
            <w:noWrap/>
            <w:vAlign w:val="center"/>
            <w:hideMark/>
          </w:tcPr>
          <w:p w14:paraId="4FD6A137" w14:textId="77777777" w:rsidR="00426A6F" w:rsidRPr="00426A6F" w:rsidRDefault="00426A6F" w:rsidP="00426A6F">
            <w:pPr>
              <w:keepNext/>
              <w:keepLines/>
              <w:spacing w:after="0" w:line="240" w:lineRule="auto"/>
              <w:jc w:val="center"/>
              <w:rPr>
                <w:rFonts w:eastAsia="Times New Roman" w:cs="Times New Roman"/>
                <w:b/>
                <w:bCs/>
                <w:color w:val="000000"/>
                <w:sz w:val="20"/>
                <w:szCs w:val="20"/>
              </w:rPr>
            </w:pPr>
            <w:r w:rsidRPr="00426A6F">
              <w:rPr>
                <w:rFonts w:eastAsia="Times New Roman" w:cs="Times New Roman"/>
                <w:b/>
                <w:bCs/>
                <w:color w:val="000000"/>
                <w:sz w:val="20"/>
                <w:szCs w:val="20"/>
              </w:rPr>
              <w:t>Total beneficiaries</w:t>
            </w:r>
          </w:p>
        </w:tc>
        <w:tc>
          <w:tcPr>
            <w:tcW w:w="1500" w:type="dxa"/>
            <w:tcBorders>
              <w:top w:val="nil"/>
              <w:left w:val="nil"/>
              <w:bottom w:val="single" w:sz="8" w:space="0" w:color="auto"/>
              <w:right w:val="single" w:sz="8" w:space="0" w:color="auto"/>
            </w:tcBorders>
            <w:shd w:val="clear" w:color="000000" w:fill="D8D8D8"/>
            <w:vAlign w:val="center"/>
            <w:hideMark/>
          </w:tcPr>
          <w:p w14:paraId="77F3AC92" w14:textId="77777777" w:rsidR="00426A6F" w:rsidRPr="00426A6F" w:rsidRDefault="00426A6F" w:rsidP="00426A6F">
            <w:pPr>
              <w:keepNext/>
              <w:keepLines/>
              <w:spacing w:after="0" w:line="240" w:lineRule="auto"/>
              <w:jc w:val="center"/>
              <w:rPr>
                <w:rFonts w:eastAsia="Times New Roman" w:cs="Times New Roman"/>
                <w:b/>
                <w:bCs/>
                <w:color w:val="000000"/>
                <w:sz w:val="20"/>
                <w:szCs w:val="20"/>
              </w:rPr>
            </w:pPr>
            <w:r w:rsidRPr="00426A6F">
              <w:rPr>
                <w:rFonts w:eastAsia="Times New Roman" w:cs="Times New Roman"/>
                <w:b/>
                <w:bCs/>
                <w:color w:val="000000"/>
                <w:sz w:val="20"/>
                <w:szCs w:val="20"/>
              </w:rPr>
              <w:t>12,252</w:t>
            </w:r>
          </w:p>
        </w:tc>
        <w:tc>
          <w:tcPr>
            <w:tcW w:w="2000" w:type="dxa"/>
            <w:tcBorders>
              <w:top w:val="nil"/>
              <w:left w:val="nil"/>
              <w:bottom w:val="single" w:sz="8" w:space="0" w:color="auto"/>
              <w:right w:val="single" w:sz="8" w:space="0" w:color="auto"/>
            </w:tcBorders>
            <w:shd w:val="clear" w:color="000000" w:fill="D8D8D8"/>
            <w:vAlign w:val="center"/>
            <w:hideMark/>
          </w:tcPr>
          <w:p w14:paraId="5A3044F7" w14:textId="77777777" w:rsidR="00426A6F" w:rsidRPr="00426A6F" w:rsidRDefault="00426A6F" w:rsidP="00426A6F">
            <w:pPr>
              <w:keepNext/>
              <w:keepLines/>
              <w:spacing w:after="0" w:line="240" w:lineRule="auto"/>
              <w:jc w:val="center"/>
              <w:rPr>
                <w:rFonts w:eastAsia="Times New Roman" w:cs="Times New Roman"/>
                <w:b/>
                <w:bCs/>
                <w:color w:val="000000"/>
                <w:sz w:val="20"/>
                <w:szCs w:val="20"/>
              </w:rPr>
            </w:pPr>
            <w:r w:rsidRPr="00426A6F">
              <w:rPr>
                <w:rFonts w:eastAsia="Times New Roman" w:cs="Times New Roman"/>
                <w:b/>
                <w:bCs/>
                <w:color w:val="000000"/>
                <w:sz w:val="20"/>
                <w:szCs w:val="20"/>
              </w:rPr>
              <w:t>16,972,240</w:t>
            </w:r>
          </w:p>
        </w:tc>
        <w:tc>
          <w:tcPr>
            <w:tcW w:w="2316" w:type="dxa"/>
            <w:tcBorders>
              <w:top w:val="nil"/>
              <w:left w:val="nil"/>
              <w:bottom w:val="single" w:sz="8" w:space="0" w:color="auto"/>
              <w:right w:val="single" w:sz="8" w:space="0" w:color="auto"/>
            </w:tcBorders>
            <w:shd w:val="clear" w:color="000000" w:fill="D8D8D8"/>
            <w:vAlign w:val="center"/>
            <w:hideMark/>
          </w:tcPr>
          <w:p w14:paraId="08D28F2D" w14:textId="77777777" w:rsidR="00426A6F" w:rsidRPr="00426A6F" w:rsidRDefault="00426A6F" w:rsidP="00426A6F">
            <w:pPr>
              <w:keepNext/>
              <w:keepLines/>
              <w:spacing w:after="0" w:line="240" w:lineRule="auto"/>
              <w:jc w:val="center"/>
              <w:rPr>
                <w:rFonts w:eastAsia="Times New Roman" w:cs="Times New Roman"/>
                <w:b/>
                <w:bCs/>
                <w:color w:val="000000"/>
                <w:sz w:val="20"/>
                <w:szCs w:val="20"/>
              </w:rPr>
            </w:pPr>
            <w:r w:rsidRPr="00426A6F">
              <w:rPr>
                <w:rFonts w:eastAsia="Times New Roman" w:cs="Times New Roman"/>
                <w:b/>
                <w:bCs/>
                <w:color w:val="000000"/>
                <w:sz w:val="20"/>
                <w:szCs w:val="20"/>
              </w:rPr>
              <w:t>1,385</w:t>
            </w:r>
          </w:p>
        </w:tc>
      </w:tr>
      <w:tr w:rsidR="00426A6F" w:rsidRPr="00426A6F" w14:paraId="4572F8BC" w14:textId="77777777" w:rsidTr="00DF20A2">
        <w:trPr>
          <w:trHeight w:val="288"/>
          <w:jc w:val="center"/>
        </w:trPr>
        <w:tc>
          <w:tcPr>
            <w:tcW w:w="3400" w:type="dxa"/>
            <w:vMerge w:val="restart"/>
            <w:tcBorders>
              <w:top w:val="nil"/>
              <w:left w:val="single" w:sz="8" w:space="0" w:color="auto"/>
              <w:bottom w:val="single" w:sz="8" w:space="0" w:color="000000"/>
              <w:right w:val="single" w:sz="8" w:space="0" w:color="auto"/>
            </w:tcBorders>
            <w:shd w:val="clear" w:color="000000" w:fill="215867"/>
            <w:noWrap/>
            <w:vAlign w:val="center"/>
            <w:hideMark/>
          </w:tcPr>
          <w:p w14:paraId="65C26601" w14:textId="77777777" w:rsidR="00426A6F" w:rsidRPr="00426A6F" w:rsidRDefault="00426A6F" w:rsidP="00426A6F">
            <w:pPr>
              <w:keepNext/>
              <w:keepLines/>
              <w:spacing w:after="0" w:line="240" w:lineRule="auto"/>
              <w:jc w:val="center"/>
              <w:rPr>
                <w:rFonts w:eastAsia="Times New Roman" w:cs="Times New Roman"/>
                <w:b/>
                <w:bCs/>
                <w:color w:val="FFFFFF"/>
                <w:sz w:val="20"/>
                <w:szCs w:val="20"/>
              </w:rPr>
            </w:pPr>
            <w:r w:rsidRPr="00426A6F">
              <w:rPr>
                <w:rFonts w:eastAsia="Times New Roman" w:cs="Times New Roman"/>
                <w:b/>
                <w:bCs/>
                <w:color w:val="FFFFFF"/>
                <w:sz w:val="20"/>
                <w:szCs w:val="20"/>
              </w:rPr>
              <w:t>Scheme II Civil</w:t>
            </w:r>
          </w:p>
        </w:tc>
        <w:tc>
          <w:tcPr>
            <w:tcW w:w="1500" w:type="dxa"/>
            <w:vMerge w:val="restart"/>
            <w:tcBorders>
              <w:top w:val="nil"/>
              <w:left w:val="single" w:sz="8" w:space="0" w:color="auto"/>
              <w:bottom w:val="single" w:sz="8" w:space="0" w:color="000000"/>
              <w:right w:val="single" w:sz="8" w:space="0" w:color="auto"/>
            </w:tcBorders>
            <w:shd w:val="clear" w:color="000000" w:fill="215867"/>
            <w:noWrap/>
            <w:vAlign w:val="center"/>
          </w:tcPr>
          <w:p w14:paraId="6DD01CF6" w14:textId="77777777" w:rsidR="00426A6F" w:rsidRPr="00426A6F" w:rsidRDefault="00426A6F" w:rsidP="00426A6F">
            <w:pPr>
              <w:keepNext/>
              <w:keepLines/>
              <w:spacing w:after="0" w:line="240" w:lineRule="auto"/>
              <w:jc w:val="center"/>
              <w:rPr>
                <w:rFonts w:eastAsia="Times New Roman" w:cs="Times New Roman"/>
                <w:b/>
                <w:bCs/>
                <w:color w:val="FFFFFF"/>
                <w:sz w:val="20"/>
                <w:szCs w:val="20"/>
              </w:rPr>
            </w:pPr>
            <w:r w:rsidRPr="00426A6F">
              <w:rPr>
                <w:rFonts w:eastAsia="Times New Roman" w:cs="Times New Roman"/>
                <w:b/>
                <w:bCs/>
                <w:color w:val="FFFFFF"/>
                <w:sz w:val="20"/>
                <w:szCs w:val="20"/>
              </w:rPr>
              <w:t>Number</w:t>
            </w:r>
          </w:p>
        </w:tc>
        <w:tc>
          <w:tcPr>
            <w:tcW w:w="2000" w:type="dxa"/>
            <w:vMerge w:val="restart"/>
            <w:tcBorders>
              <w:top w:val="nil"/>
              <w:left w:val="single" w:sz="8" w:space="0" w:color="auto"/>
              <w:bottom w:val="single" w:sz="8" w:space="0" w:color="000000"/>
              <w:right w:val="single" w:sz="8" w:space="0" w:color="auto"/>
            </w:tcBorders>
            <w:shd w:val="clear" w:color="000000" w:fill="215867"/>
            <w:noWrap/>
            <w:vAlign w:val="center"/>
          </w:tcPr>
          <w:p w14:paraId="63F3F915" w14:textId="77777777" w:rsidR="00426A6F" w:rsidRPr="00426A6F" w:rsidRDefault="00426A6F" w:rsidP="00426A6F">
            <w:pPr>
              <w:keepNext/>
              <w:keepLines/>
              <w:spacing w:after="0" w:line="240" w:lineRule="auto"/>
              <w:jc w:val="center"/>
              <w:rPr>
                <w:rFonts w:eastAsia="Times New Roman" w:cs="Times New Roman"/>
                <w:b/>
                <w:bCs/>
                <w:color w:val="FFFFFF"/>
                <w:sz w:val="20"/>
                <w:szCs w:val="20"/>
              </w:rPr>
            </w:pPr>
            <w:r w:rsidRPr="00426A6F">
              <w:rPr>
                <w:rFonts w:eastAsia="Times New Roman" w:cs="Times New Roman"/>
                <w:b/>
                <w:bCs/>
                <w:color w:val="FFFFFF"/>
                <w:sz w:val="20"/>
                <w:szCs w:val="20"/>
              </w:rPr>
              <w:t>Total wages /</w:t>
            </w:r>
          </w:p>
          <w:p w14:paraId="21A7943D" w14:textId="77777777" w:rsidR="00426A6F" w:rsidRPr="00426A6F" w:rsidRDefault="00426A6F" w:rsidP="00426A6F">
            <w:pPr>
              <w:keepNext/>
              <w:keepLines/>
              <w:spacing w:after="0" w:line="240" w:lineRule="auto"/>
              <w:jc w:val="center"/>
              <w:rPr>
                <w:rFonts w:eastAsia="Times New Roman" w:cs="Times New Roman"/>
                <w:b/>
                <w:bCs/>
                <w:color w:val="FFFFFF"/>
                <w:sz w:val="20"/>
                <w:szCs w:val="20"/>
              </w:rPr>
            </w:pPr>
            <w:r w:rsidRPr="00426A6F">
              <w:rPr>
                <w:rFonts w:eastAsia="Times New Roman" w:cs="Times New Roman"/>
                <w:b/>
                <w:bCs/>
                <w:color w:val="FFFFFF"/>
                <w:sz w:val="20"/>
                <w:szCs w:val="20"/>
              </w:rPr>
              <w:t>pensions (NIS)</w:t>
            </w:r>
          </w:p>
        </w:tc>
        <w:tc>
          <w:tcPr>
            <w:tcW w:w="2316" w:type="dxa"/>
            <w:tcBorders>
              <w:top w:val="nil"/>
              <w:left w:val="nil"/>
              <w:bottom w:val="nil"/>
              <w:right w:val="single" w:sz="8" w:space="0" w:color="auto"/>
            </w:tcBorders>
            <w:shd w:val="clear" w:color="000000" w:fill="215867"/>
            <w:noWrap/>
            <w:vAlign w:val="center"/>
          </w:tcPr>
          <w:p w14:paraId="34EEBA6F" w14:textId="77777777" w:rsidR="00426A6F" w:rsidRPr="00426A6F" w:rsidRDefault="00426A6F" w:rsidP="00426A6F">
            <w:pPr>
              <w:keepNext/>
              <w:keepLines/>
              <w:spacing w:after="0" w:line="240" w:lineRule="auto"/>
              <w:jc w:val="center"/>
              <w:rPr>
                <w:rFonts w:eastAsia="Times New Roman" w:cs="Times New Roman"/>
                <w:b/>
                <w:bCs/>
                <w:color w:val="FFFFFF"/>
                <w:sz w:val="20"/>
                <w:szCs w:val="20"/>
              </w:rPr>
            </w:pPr>
            <w:r w:rsidRPr="00426A6F">
              <w:rPr>
                <w:rFonts w:eastAsia="Times New Roman" w:cs="Times New Roman"/>
                <w:b/>
                <w:bCs/>
                <w:color w:val="FFFFFF"/>
                <w:sz w:val="20"/>
                <w:szCs w:val="20"/>
              </w:rPr>
              <w:t xml:space="preserve">Average </w:t>
            </w:r>
          </w:p>
        </w:tc>
      </w:tr>
      <w:tr w:rsidR="00426A6F" w:rsidRPr="00426A6F" w14:paraId="0F99EA64" w14:textId="77777777" w:rsidTr="00DF20A2">
        <w:trPr>
          <w:trHeight w:val="300"/>
          <w:jc w:val="center"/>
        </w:trPr>
        <w:tc>
          <w:tcPr>
            <w:tcW w:w="3400" w:type="dxa"/>
            <w:vMerge/>
            <w:tcBorders>
              <w:top w:val="nil"/>
              <w:left w:val="single" w:sz="8" w:space="0" w:color="auto"/>
              <w:bottom w:val="single" w:sz="8" w:space="0" w:color="000000"/>
              <w:right w:val="single" w:sz="8" w:space="0" w:color="auto"/>
            </w:tcBorders>
            <w:vAlign w:val="center"/>
            <w:hideMark/>
          </w:tcPr>
          <w:p w14:paraId="66BD17EA" w14:textId="77777777" w:rsidR="00426A6F" w:rsidRPr="00426A6F" w:rsidRDefault="00426A6F" w:rsidP="00426A6F">
            <w:pPr>
              <w:keepNext/>
              <w:keepLines/>
              <w:spacing w:after="0" w:line="240" w:lineRule="auto"/>
              <w:jc w:val="both"/>
              <w:rPr>
                <w:rFonts w:eastAsia="Times New Roman" w:cs="Times New Roman"/>
                <w:b/>
                <w:bCs/>
                <w:color w:val="FFFFFF"/>
                <w:sz w:val="20"/>
                <w:szCs w:val="20"/>
              </w:rPr>
            </w:pPr>
          </w:p>
        </w:tc>
        <w:tc>
          <w:tcPr>
            <w:tcW w:w="1500" w:type="dxa"/>
            <w:vMerge/>
            <w:tcBorders>
              <w:top w:val="nil"/>
              <w:left w:val="single" w:sz="8" w:space="0" w:color="auto"/>
              <w:bottom w:val="single" w:sz="8" w:space="0" w:color="000000"/>
              <w:right w:val="single" w:sz="8" w:space="0" w:color="auto"/>
            </w:tcBorders>
            <w:vAlign w:val="center"/>
          </w:tcPr>
          <w:p w14:paraId="7F4B611E" w14:textId="77777777" w:rsidR="00426A6F" w:rsidRPr="00426A6F" w:rsidRDefault="00426A6F" w:rsidP="00426A6F">
            <w:pPr>
              <w:keepNext/>
              <w:keepLines/>
              <w:spacing w:after="0" w:line="240" w:lineRule="auto"/>
              <w:jc w:val="both"/>
              <w:rPr>
                <w:rFonts w:eastAsia="Times New Roman" w:cs="Times New Roman"/>
                <w:b/>
                <w:bCs/>
                <w:color w:val="FFFFFF"/>
                <w:sz w:val="20"/>
                <w:szCs w:val="20"/>
              </w:rPr>
            </w:pPr>
          </w:p>
        </w:tc>
        <w:tc>
          <w:tcPr>
            <w:tcW w:w="2000" w:type="dxa"/>
            <w:vMerge/>
            <w:tcBorders>
              <w:top w:val="nil"/>
              <w:left w:val="single" w:sz="8" w:space="0" w:color="auto"/>
              <w:bottom w:val="single" w:sz="8" w:space="0" w:color="000000"/>
              <w:right w:val="single" w:sz="8" w:space="0" w:color="auto"/>
            </w:tcBorders>
            <w:vAlign w:val="center"/>
          </w:tcPr>
          <w:p w14:paraId="09D9B86F" w14:textId="77777777" w:rsidR="00426A6F" w:rsidRPr="00426A6F" w:rsidRDefault="00426A6F" w:rsidP="00426A6F">
            <w:pPr>
              <w:keepNext/>
              <w:keepLines/>
              <w:spacing w:after="0" w:line="240" w:lineRule="auto"/>
              <w:jc w:val="both"/>
              <w:rPr>
                <w:rFonts w:eastAsia="Times New Roman" w:cs="Times New Roman"/>
                <w:b/>
                <w:bCs/>
                <w:color w:val="FFFFFF"/>
                <w:sz w:val="20"/>
                <w:szCs w:val="20"/>
              </w:rPr>
            </w:pPr>
          </w:p>
        </w:tc>
        <w:tc>
          <w:tcPr>
            <w:tcW w:w="2316" w:type="dxa"/>
            <w:tcBorders>
              <w:top w:val="nil"/>
              <w:left w:val="nil"/>
              <w:bottom w:val="single" w:sz="8" w:space="0" w:color="auto"/>
              <w:right w:val="single" w:sz="8" w:space="0" w:color="auto"/>
            </w:tcBorders>
            <w:shd w:val="clear" w:color="000000" w:fill="215867"/>
            <w:noWrap/>
            <w:vAlign w:val="center"/>
          </w:tcPr>
          <w:p w14:paraId="0085299C" w14:textId="77777777" w:rsidR="00426A6F" w:rsidRPr="00426A6F" w:rsidRDefault="00426A6F" w:rsidP="00426A6F">
            <w:pPr>
              <w:keepNext/>
              <w:keepLines/>
              <w:spacing w:after="0" w:line="240" w:lineRule="auto"/>
              <w:jc w:val="center"/>
              <w:rPr>
                <w:rFonts w:eastAsia="Times New Roman" w:cs="Times New Roman"/>
                <w:b/>
                <w:bCs/>
                <w:color w:val="FFFFFF"/>
                <w:sz w:val="20"/>
                <w:szCs w:val="20"/>
              </w:rPr>
            </w:pPr>
            <w:r w:rsidRPr="00426A6F">
              <w:rPr>
                <w:rFonts w:eastAsia="Times New Roman" w:cs="Times New Roman"/>
                <w:b/>
                <w:bCs/>
                <w:color w:val="FFFFFF"/>
                <w:sz w:val="20"/>
                <w:szCs w:val="20"/>
              </w:rPr>
              <w:t>wages/ pensions (NIS)</w:t>
            </w:r>
          </w:p>
        </w:tc>
      </w:tr>
      <w:tr w:rsidR="00426A6F" w:rsidRPr="00426A6F" w14:paraId="63441FBD" w14:textId="77777777" w:rsidTr="00DF20A2">
        <w:trPr>
          <w:trHeight w:val="300"/>
          <w:jc w:val="center"/>
        </w:trPr>
        <w:tc>
          <w:tcPr>
            <w:tcW w:w="3400" w:type="dxa"/>
            <w:tcBorders>
              <w:top w:val="nil"/>
              <w:left w:val="single" w:sz="8" w:space="0" w:color="auto"/>
              <w:bottom w:val="single" w:sz="8" w:space="0" w:color="auto"/>
              <w:right w:val="single" w:sz="8" w:space="0" w:color="auto"/>
            </w:tcBorders>
            <w:shd w:val="pct12" w:color="000000" w:fill="D9D9D9"/>
            <w:noWrap/>
            <w:vAlign w:val="center"/>
            <w:hideMark/>
          </w:tcPr>
          <w:p w14:paraId="1EC1B1F5" w14:textId="77777777" w:rsidR="00426A6F" w:rsidRPr="00426A6F" w:rsidRDefault="00426A6F" w:rsidP="00426A6F">
            <w:pPr>
              <w:keepNext/>
              <w:keepLines/>
              <w:spacing w:after="0" w:line="240" w:lineRule="auto"/>
              <w:jc w:val="center"/>
              <w:rPr>
                <w:rFonts w:eastAsia="Times New Roman" w:cs="Times New Roman"/>
                <w:b/>
                <w:bCs/>
                <w:color w:val="000000"/>
                <w:sz w:val="20"/>
                <w:szCs w:val="20"/>
              </w:rPr>
            </w:pPr>
            <w:r w:rsidRPr="00426A6F">
              <w:rPr>
                <w:rFonts w:eastAsia="Times New Roman" w:cs="Times New Roman"/>
                <w:b/>
                <w:bCs/>
                <w:color w:val="000000"/>
                <w:sz w:val="20"/>
                <w:szCs w:val="20"/>
              </w:rPr>
              <w:t>Active contributors</w:t>
            </w:r>
          </w:p>
        </w:tc>
        <w:tc>
          <w:tcPr>
            <w:tcW w:w="1500" w:type="dxa"/>
            <w:tcBorders>
              <w:top w:val="nil"/>
              <w:left w:val="nil"/>
              <w:bottom w:val="single" w:sz="8" w:space="0" w:color="auto"/>
              <w:right w:val="single" w:sz="8" w:space="0" w:color="auto"/>
            </w:tcBorders>
            <w:shd w:val="clear" w:color="000000" w:fill="D9D9D9"/>
            <w:vAlign w:val="center"/>
            <w:hideMark/>
          </w:tcPr>
          <w:p w14:paraId="07D4C8C1" w14:textId="77777777" w:rsidR="00426A6F" w:rsidRPr="00426A6F" w:rsidRDefault="00426A6F" w:rsidP="00426A6F">
            <w:pPr>
              <w:keepNext/>
              <w:keepLines/>
              <w:spacing w:after="0" w:line="240" w:lineRule="auto"/>
              <w:jc w:val="center"/>
              <w:rPr>
                <w:rFonts w:eastAsia="Times New Roman" w:cs="Times New Roman"/>
                <w:b/>
                <w:bCs/>
                <w:color w:val="000000"/>
                <w:sz w:val="20"/>
                <w:szCs w:val="20"/>
              </w:rPr>
            </w:pPr>
            <w:r w:rsidRPr="00426A6F">
              <w:rPr>
                <w:rFonts w:eastAsia="Times New Roman" w:cs="Times New Roman"/>
                <w:b/>
                <w:bCs/>
                <w:color w:val="000000"/>
                <w:sz w:val="20"/>
                <w:szCs w:val="20"/>
              </w:rPr>
              <w:t>74,438</w:t>
            </w:r>
          </w:p>
        </w:tc>
        <w:tc>
          <w:tcPr>
            <w:tcW w:w="2000" w:type="dxa"/>
            <w:tcBorders>
              <w:top w:val="nil"/>
              <w:left w:val="nil"/>
              <w:bottom w:val="single" w:sz="8" w:space="0" w:color="auto"/>
              <w:right w:val="single" w:sz="8" w:space="0" w:color="auto"/>
            </w:tcBorders>
            <w:shd w:val="clear" w:color="000000" w:fill="D9D9D9"/>
            <w:vAlign w:val="center"/>
            <w:hideMark/>
          </w:tcPr>
          <w:p w14:paraId="09264D8D" w14:textId="77777777" w:rsidR="00426A6F" w:rsidRPr="00426A6F" w:rsidRDefault="00426A6F" w:rsidP="00426A6F">
            <w:pPr>
              <w:keepNext/>
              <w:keepLines/>
              <w:spacing w:after="0" w:line="240" w:lineRule="auto"/>
              <w:jc w:val="center"/>
              <w:rPr>
                <w:rFonts w:eastAsia="Times New Roman" w:cs="Times New Roman"/>
                <w:b/>
                <w:bCs/>
                <w:color w:val="000000"/>
                <w:sz w:val="20"/>
                <w:szCs w:val="20"/>
              </w:rPr>
            </w:pPr>
            <w:r w:rsidRPr="00426A6F">
              <w:rPr>
                <w:rFonts w:eastAsia="Times New Roman" w:cs="Times New Roman"/>
                <w:b/>
                <w:bCs/>
                <w:color w:val="000000"/>
                <w:sz w:val="20"/>
                <w:szCs w:val="20"/>
              </w:rPr>
              <w:t>220,877,158.04</w:t>
            </w:r>
          </w:p>
        </w:tc>
        <w:tc>
          <w:tcPr>
            <w:tcW w:w="2316" w:type="dxa"/>
            <w:tcBorders>
              <w:top w:val="nil"/>
              <w:left w:val="nil"/>
              <w:bottom w:val="single" w:sz="8" w:space="0" w:color="auto"/>
              <w:right w:val="single" w:sz="8" w:space="0" w:color="auto"/>
            </w:tcBorders>
            <w:shd w:val="clear" w:color="000000" w:fill="D9D9D9"/>
            <w:vAlign w:val="center"/>
            <w:hideMark/>
          </w:tcPr>
          <w:p w14:paraId="1D79C340" w14:textId="77777777" w:rsidR="00426A6F" w:rsidRPr="00426A6F" w:rsidRDefault="00426A6F" w:rsidP="00426A6F">
            <w:pPr>
              <w:keepNext/>
              <w:keepLines/>
              <w:spacing w:after="0" w:line="240" w:lineRule="auto"/>
              <w:jc w:val="center"/>
              <w:rPr>
                <w:rFonts w:eastAsia="Times New Roman" w:cs="Times New Roman"/>
                <w:b/>
                <w:bCs/>
                <w:color w:val="000000"/>
                <w:sz w:val="20"/>
                <w:szCs w:val="20"/>
              </w:rPr>
            </w:pPr>
            <w:r w:rsidRPr="00426A6F">
              <w:rPr>
                <w:rFonts w:eastAsia="Times New Roman" w:cs="Times New Roman"/>
                <w:b/>
                <w:bCs/>
                <w:color w:val="000000"/>
                <w:sz w:val="20"/>
                <w:szCs w:val="20"/>
              </w:rPr>
              <w:t>2,967</w:t>
            </w:r>
          </w:p>
        </w:tc>
      </w:tr>
      <w:tr w:rsidR="00426A6F" w:rsidRPr="00426A6F" w14:paraId="32669106" w14:textId="77777777" w:rsidTr="00DF20A2">
        <w:trPr>
          <w:trHeight w:val="300"/>
          <w:jc w:val="center"/>
        </w:trPr>
        <w:tc>
          <w:tcPr>
            <w:tcW w:w="3400" w:type="dxa"/>
            <w:tcBorders>
              <w:top w:val="nil"/>
              <w:left w:val="single" w:sz="8" w:space="0" w:color="auto"/>
              <w:bottom w:val="single" w:sz="8" w:space="0" w:color="auto"/>
              <w:right w:val="single" w:sz="8" w:space="0" w:color="auto"/>
            </w:tcBorders>
            <w:shd w:val="clear" w:color="000000" w:fill="FFFFFF"/>
            <w:noWrap/>
            <w:vAlign w:val="center"/>
            <w:hideMark/>
          </w:tcPr>
          <w:p w14:paraId="478281AB"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Old age and early retirement</w:t>
            </w:r>
          </w:p>
        </w:tc>
        <w:tc>
          <w:tcPr>
            <w:tcW w:w="1500" w:type="dxa"/>
            <w:tcBorders>
              <w:top w:val="nil"/>
              <w:left w:val="nil"/>
              <w:bottom w:val="single" w:sz="8" w:space="0" w:color="auto"/>
              <w:right w:val="single" w:sz="8" w:space="0" w:color="auto"/>
            </w:tcBorders>
            <w:shd w:val="clear" w:color="000000" w:fill="FFFFFF"/>
            <w:vAlign w:val="center"/>
            <w:hideMark/>
          </w:tcPr>
          <w:p w14:paraId="74B563C5"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6</w:t>
            </w:r>
          </w:p>
        </w:tc>
        <w:tc>
          <w:tcPr>
            <w:tcW w:w="2000" w:type="dxa"/>
            <w:tcBorders>
              <w:top w:val="nil"/>
              <w:left w:val="nil"/>
              <w:bottom w:val="single" w:sz="8" w:space="0" w:color="auto"/>
              <w:right w:val="single" w:sz="8" w:space="0" w:color="auto"/>
            </w:tcBorders>
            <w:shd w:val="clear" w:color="000000" w:fill="FFFFFF"/>
            <w:vAlign w:val="center"/>
            <w:hideMark/>
          </w:tcPr>
          <w:p w14:paraId="6DC176EC"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9,436.72</w:t>
            </w:r>
          </w:p>
        </w:tc>
        <w:tc>
          <w:tcPr>
            <w:tcW w:w="2316" w:type="dxa"/>
            <w:tcBorders>
              <w:top w:val="nil"/>
              <w:left w:val="nil"/>
              <w:bottom w:val="single" w:sz="8" w:space="0" w:color="auto"/>
              <w:right w:val="single" w:sz="8" w:space="0" w:color="auto"/>
            </w:tcBorders>
            <w:shd w:val="clear" w:color="000000" w:fill="FFFFFF"/>
            <w:vAlign w:val="center"/>
            <w:hideMark/>
          </w:tcPr>
          <w:p w14:paraId="31FC2D67"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1,573</w:t>
            </w:r>
          </w:p>
        </w:tc>
      </w:tr>
      <w:tr w:rsidR="00426A6F" w:rsidRPr="00426A6F" w14:paraId="648A475D" w14:textId="77777777" w:rsidTr="00DF20A2">
        <w:trPr>
          <w:trHeight w:val="288"/>
          <w:jc w:val="center"/>
        </w:trPr>
        <w:tc>
          <w:tcPr>
            <w:tcW w:w="3400" w:type="dxa"/>
            <w:tcBorders>
              <w:top w:val="nil"/>
              <w:left w:val="single" w:sz="8" w:space="0" w:color="auto"/>
              <w:bottom w:val="single" w:sz="8" w:space="0" w:color="auto"/>
              <w:right w:val="single" w:sz="8" w:space="0" w:color="auto"/>
            </w:tcBorders>
            <w:shd w:val="clear" w:color="000000" w:fill="FFFFFF"/>
            <w:noWrap/>
            <w:vAlign w:val="center"/>
            <w:hideMark/>
          </w:tcPr>
          <w:p w14:paraId="23D66D65"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Disability</w:t>
            </w:r>
          </w:p>
        </w:tc>
        <w:tc>
          <w:tcPr>
            <w:tcW w:w="1500" w:type="dxa"/>
            <w:tcBorders>
              <w:top w:val="nil"/>
              <w:left w:val="nil"/>
              <w:bottom w:val="single" w:sz="8" w:space="0" w:color="auto"/>
              <w:right w:val="single" w:sz="8" w:space="0" w:color="auto"/>
            </w:tcBorders>
            <w:shd w:val="clear" w:color="000000" w:fill="FFFFFF"/>
            <w:vAlign w:val="center"/>
            <w:hideMark/>
          </w:tcPr>
          <w:p w14:paraId="742F89D7"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159</w:t>
            </w:r>
          </w:p>
        </w:tc>
        <w:tc>
          <w:tcPr>
            <w:tcW w:w="2000" w:type="dxa"/>
            <w:tcBorders>
              <w:top w:val="nil"/>
              <w:left w:val="nil"/>
              <w:bottom w:val="single" w:sz="8" w:space="0" w:color="auto"/>
              <w:right w:val="single" w:sz="8" w:space="0" w:color="auto"/>
            </w:tcBorders>
            <w:shd w:val="clear" w:color="000000" w:fill="FFFFFF"/>
            <w:vAlign w:val="center"/>
            <w:hideMark/>
          </w:tcPr>
          <w:p w14:paraId="5EC7E840"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265,060.39</w:t>
            </w:r>
          </w:p>
        </w:tc>
        <w:tc>
          <w:tcPr>
            <w:tcW w:w="2316" w:type="dxa"/>
            <w:tcBorders>
              <w:top w:val="nil"/>
              <w:left w:val="nil"/>
              <w:bottom w:val="single" w:sz="8" w:space="0" w:color="auto"/>
              <w:right w:val="single" w:sz="8" w:space="0" w:color="auto"/>
            </w:tcBorders>
            <w:shd w:val="clear" w:color="000000" w:fill="FFFFFF"/>
            <w:vAlign w:val="center"/>
            <w:hideMark/>
          </w:tcPr>
          <w:p w14:paraId="3625D5DD"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1,667</w:t>
            </w:r>
          </w:p>
        </w:tc>
      </w:tr>
      <w:tr w:rsidR="00426A6F" w:rsidRPr="00426A6F" w14:paraId="37FAE6AD" w14:textId="77777777" w:rsidTr="00DF20A2">
        <w:trPr>
          <w:trHeight w:val="288"/>
          <w:jc w:val="center"/>
        </w:trPr>
        <w:tc>
          <w:tcPr>
            <w:tcW w:w="3400" w:type="dxa"/>
            <w:tcBorders>
              <w:top w:val="nil"/>
              <w:left w:val="single" w:sz="8" w:space="0" w:color="auto"/>
              <w:bottom w:val="single" w:sz="8" w:space="0" w:color="auto"/>
              <w:right w:val="single" w:sz="8" w:space="0" w:color="auto"/>
            </w:tcBorders>
            <w:shd w:val="clear" w:color="000000" w:fill="FFFFFF"/>
            <w:noWrap/>
            <w:vAlign w:val="center"/>
            <w:hideMark/>
          </w:tcPr>
          <w:p w14:paraId="27E0B0F3"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 xml:space="preserve"> Survivors</w:t>
            </w:r>
          </w:p>
        </w:tc>
        <w:tc>
          <w:tcPr>
            <w:tcW w:w="1500" w:type="dxa"/>
            <w:tcBorders>
              <w:top w:val="nil"/>
              <w:left w:val="nil"/>
              <w:bottom w:val="single" w:sz="8" w:space="0" w:color="auto"/>
              <w:right w:val="single" w:sz="8" w:space="0" w:color="auto"/>
            </w:tcBorders>
            <w:shd w:val="clear" w:color="000000" w:fill="FFFFFF"/>
            <w:vAlign w:val="center"/>
            <w:hideMark/>
          </w:tcPr>
          <w:p w14:paraId="71F11EE9"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1,777</w:t>
            </w:r>
          </w:p>
        </w:tc>
        <w:tc>
          <w:tcPr>
            <w:tcW w:w="2000" w:type="dxa"/>
            <w:tcBorders>
              <w:top w:val="nil"/>
              <w:left w:val="nil"/>
              <w:bottom w:val="single" w:sz="8" w:space="0" w:color="auto"/>
              <w:right w:val="single" w:sz="8" w:space="0" w:color="auto"/>
            </w:tcBorders>
            <w:shd w:val="clear" w:color="000000" w:fill="FFFFFF"/>
            <w:vAlign w:val="center"/>
            <w:hideMark/>
          </w:tcPr>
          <w:p w14:paraId="4A3BB92B"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404,737.09</w:t>
            </w:r>
          </w:p>
        </w:tc>
        <w:tc>
          <w:tcPr>
            <w:tcW w:w="2316" w:type="dxa"/>
            <w:tcBorders>
              <w:top w:val="nil"/>
              <w:left w:val="nil"/>
              <w:bottom w:val="single" w:sz="8" w:space="0" w:color="auto"/>
              <w:right w:val="single" w:sz="8" w:space="0" w:color="auto"/>
            </w:tcBorders>
            <w:shd w:val="clear" w:color="000000" w:fill="FFFFFF"/>
            <w:vAlign w:val="center"/>
            <w:hideMark/>
          </w:tcPr>
          <w:p w14:paraId="703B8F71"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228</w:t>
            </w:r>
          </w:p>
        </w:tc>
      </w:tr>
      <w:tr w:rsidR="00426A6F" w:rsidRPr="00426A6F" w14:paraId="74C84CE6" w14:textId="77777777" w:rsidTr="00DF20A2">
        <w:trPr>
          <w:trHeight w:val="288"/>
          <w:jc w:val="center"/>
        </w:trPr>
        <w:tc>
          <w:tcPr>
            <w:tcW w:w="3400" w:type="dxa"/>
            <w:tcBorders>
              <w:top w:val="nil"/>
              <w:left w:val="single" w:sz="8" w:space="0" w:color="auto"/>
              <w:bottom w:val="single" w:sz="8" w:space="0" w:color="auto"/>
              <w:right w:val="single" w:sz="8" w:space="0" w:color="auto"/>
            </w:tcBorders>
            <w:shd w:val="clear" w:color="000000" w:fill="D8D8D8"/>
            <w:noWrap/>
            <w:vAlign w:val="center"/>
            <w:hideMark/>
          </w:tcPr>
          <w:p w14:paraId="2F7041CE" w14:textId="77777777" w:rsidR="00426A6F" w:rsidRPr="00426A6F" w:rsidRDefault="00426A6F" w:rsidP="00426A6F">
            <w:pPr>
              <w:keepNext/>
              <w:keepLines/>
              <w:spacing w:after="0" w:line="240" w:lineRule="auto"/>
              <w:jc w:val="center"/>
              <w:rPr>
                <w:rFonts w:eastAsia="Times New Roman" w:cs="Times New Roman"/>
                <w:b/>
                <w:bCs/>
                <w:color w:val="000000"/>
                <w:sz w:val="20"/>
                <w:szCs w:val="20"/>
              </w:rPr>
            </w:pPr>
            <w:r w:rsidRPr="00426A6F">
              <w:rPr>
                <w:rFonts w:eastAsia="Times New Roman" w:cs="Times New Roman"/>
                <w:b/>
                <w:bCs/>
                <w:color w:val="000000"/>
                <w:sz w:val="20"/>
                <w:szCs w:val="20"/>
              </w:rPr>
              <w:t>Total beneficiaries</w:t>
            </w:r>
          </w:p>
        </w:tc>
        <w:tc>
          <w:tcPr>
            <w:tcW w:w="1500" w:type="dxa"/>
            <w:tcBorders>
              <w:top w:val="nil"/>
              <w:left w:val="nil"/>
              <w:bottom w:val="single" w:sz="8" w:space="0" w:color="auto"/>
              <w:right w:val="single" w:sz="8" w:space="0" w:color="auto"/>
            </w:tcBorders>
            <w:shd w:val="clear" w:color="000000" w:fill="D8D8D8"/>
            <w:vAlign w:val="center"/>
            <w:hideMark/>
          </w:tcPr>
          <w:p w14:paraId="00995634" w14:textId="77777777" w:rsidR="00426A6F" w:rsidRPr="00426A6F" w:rsidRDefault="00426A6F" w:rsidP="00426A6F">
            <w:pPr>
              <w:keepNext/>
              <w:keepLines/>
              <w:spacing w:after="0" w:line="240" w:lineRule="auto"/>
              <w:jc w:val="center"/>
              <w:rPr>
                <w:rFonts w:eastAsia="Times New Roman" w:cs="Times New Roman"/>
                <w:b/>
                <w:bCs/>
                <w:color w:val="000000"/>
                <w:sz w:val="20"/>
                <w:szCs w:val="20"/>
              </w:rPr>
            </w:pPr>
            <w:r w:rsidRPr="00426A6F">
              <w:rPr>
                <w:rFonts w:eastAsia="Times New Roman" w:cs="Times New Roman"/>
                <w:b/>
                <w:bCs/>
                <w:color w:val="000000"/>
                <w:sz w:val="20"/>
                <w:szCs w:val="20"/>
              </w:rPr>
              <w:t>1,942</w:t>
            </w:r>
          </w:p>
        </w:tc>
        <w:tc>
          <w:tcPr>
            <w:tcW w:w="2000" w:type="dxa"/>
            <w:tcBorders>
              <w:top w:val="nil"/>
              <w:left w:val="nil"/>
              <w:bottom w:val="single" w:sz="8" w:space="0" w:color="auto"/>
              <w:right w:val="single" w:sz="8" w:space="0" w:color="auto"/>
            </w:tcBorders>
            <w:shd w:val="clear" w:color="000000" w:fill="D8D8D8"/>
            <w:vAlign w:val="center"/>
            <w:hideMark/>
          </w:tcPr>
          <w:p w14:paraId="158CBE9E" w14:textId="77777777" w:rsidR="00426A6F" w:rsidRPr="00426A6F" w:rsidRDefault="00426A6F" w:rsidP="00426A6F">
            <w:pPr>
              <w:keepNext/>
              <w:keepLines/>
              <w:spacing w:after="0" w:line="240" w:lineRule="auto"/>
              <w:jc w:val="center"/>
              <w:rPr>
                <w:rFonts w:eastAsia="Times New Roman" w:cs="Times New Roman"/>
                <w:b/>
                <w:bCs/>
                <w:color w:val="000000"/>
                <w:sz w:val="20"/>
                <w:szCs w:val="20"/>
              </w:rPr>
            </w:pPr>
            <w:r w:rsidRPr="00426A6F">
              <w:rPr>
                <w:rFonts w:eastAsia="Times New Roman" w:cs="Times New Roman"/>
                <w:b/>
                <w:bCs/>
                <w:color w:val="000000"/>
                <w:sz w:val="20"/>
                <w:szCs w:val="20"/>
              </w:rPr>
              <w:t>679,234</w:t>
            </w:r>
          </w:p>
        </w:tc>
        <w:tc>
          <w:tcPr>
            <w:tcW w:w="2316" w:type="dxa"/>
            <w:tcBorders>
              <w:top w:val="nil"/>
              <w:left w:val="nil"/>
              <w:bottom w:val="single" w:sz="8" w:space="0" w:color="auto"/>
              <w:right w:val="single" w:sz="8" w:space="0" w:color="auto"/>
            </w:tcBorders>
            <w:shd w:val="clear" w:color="000000" w:fill="D8D8D8"/>
            <w:vAlign w:val="center"/>
            <w:hideMark/>
          </w:tcPr>
          <w:p w14:paraId="53796FF1" w14:textId="77777777" w:rsidR="00426A6F" w:rsidRPr="00426A6F" w:rsidRDefault="00426A6F" w:rsidP="00426A6F">
            <w:pPr>
              <w:keepNext/>
              <w:keepLines/>
              <w:spacing w:after="0" w:line="240" w:lineRule="auto"/>
              <w:jc w:val="center"/>
              <w:rPr>
                <w:rFonts w:eastAsia="Times New Roman" w:cs="Times New Roman"/>
                <w:b/>
                <w:bCs/>
                <w:color w:val="000000"/>
                <w:sz w:val="20"/>
                <w:szCs w:val="20"/>
              </w:rPr>
            </w:pPr>
            <w:r w:rsidRPr="00426A6F">
              <w:rPr>
                <w:rFonts w:eastAsia="Times New Roman" w:cs="Times New Roman"/>
                <w:b/>
                <w:bCs/>
                <w:color w:val="000000"/>
                <w:sz w:val="20"/>
                <w:szCs w:val="20"/>
              </w:rPr>
              <w:t>350</w:t>
            </w:r>
          </w:p>
        </w:tc>
      </w:tr>
      <w:tr w:rsidR="00426A6F" w:rsidRPr="00426A6F" w14:paraId="7276613F" w14:textId="77777777" w:rsidTr="00DF20A2">
        <w:trPr>
          <w:trHeight w:val="288"/>
          <w:jc w:val="center"/>
        </w:trPr>
        <w:tc>
          <w:tcPr>
            <w:tcW w:w="3400" w:type="dxa"/>
            <w:vMerge w:val="restart"/>
            <w:tcBorders>
              <w:top w:val="nil"/>
              <w:left w:val="single" w:sz="8" w:space="0" w:color="auto"/>
              <w:bottom w:val="single" w:sz="8" w:space="0" w:color="000000"/>
              <w:right w:val="single" w:sz="8" w:space="0" w:color="auto"/>
            </w:tcBorders>
            <w:shd w:val="clear" w:color="000000" w:fill="215867"/>
            <w:noWrap/>
            <w:vAlign w:val="center"/>
            <w:hideMark/>
          </w:tcPr>
          <w:p w14:paraId="433AFBB5" w14:textId="77777777" w:rsidR="00426A6F" w:rsidRPr="00426A6F" w:rsidRDefault="00426A6F" w:rsidP="00426A6F">
            <w:pPr>
              <w:keepNext/>
              <w:keepLines/>
              <w:spacing w:after="0" w:line="240" w:lineRule="auto"/>
              <w:jc w:val="center"/>
              <w:rPr>
                <w:rFonts w:eastAsia="Times New Roman" w:cs="Times New Roman"/>
                <w:b/>
                <w:bCs/>
                <w:color w:val="FFFFFF"/>
                <w:sz w:val="20"/>
                <w:szCs w:val="20"/>
              </w:rPr>
            </w:pPr>
            <w:r w:rsidRPr="00426A6F">
              <w:rPr>
                <w:rFonts w:eastAsia="Times New Roman" w:cs="Times New Roman"/>
                <w:b/>
                <w:bCs/>
                <w:color w:val="FFFFFF"/>
                <w:sz w:val="20"/>
                <w:szCs w:val="20"/>
              </w:rPr>
              <w:t>Scheme II Security</w:t>
            </w:r>
          </w:p>
        </w:tc>
        <w:tc>
          <w:tcPr>
            <w:tcW w:w="1500" w:type="dxa"/>
            <w:vMerge w:val="restart"/>
            <w:tcBorders>
              <w:top w:val="nil"/>
              <w:left w:val="single" w:sz="8" w:space="0" w:color="auto"/>
              <w:bottom w:val="single" w:sz="8" w:space="0" w:color="000000"/>
              <w:right w:val="single" w:sz="8" w:space="0" w:color="auto"/>
            </w:tcBorders>
            <w:shd w:val="clear" w:color="000000" w:fill="215867"/>
            <w:noWrap/>
            <w:vAlign w:val="center"/>
            <w:hideMark/>
          </w:tcPr>
          <w:p w14:paraId="48D714D0" w14:textId="77777777" w:rsidR="00426A6F" w:rsidRPr="00426A6F" w:rsidRDefault="00426A6F" w:rsidP="00426A6F">
            <w:pPr>
              <w:keepNext/>
              <w:keepLines/>
              <w:spacing w:after="0" w:line="240" w:lineRule="auto"/>
              <w:jc w:val="center"/>
              <w:rPr>
                <w:rFonts w:eastAsia="Times New Roman" w:cs="Times New Roman"/>
                <w:b/>
                <w:bCs/>
                <w:color w:val="FFFFFF"/>
                <w:sz w:val="20"/>
                <w:szCs w:val="20"/>
              </w:rPr>
            </w:pPr>
            <w:r w:rsidRPr="00426A6F">
              <w:rPr>
                <w:rFonts w:eastAsia="Times New Roman" w:cs="Times New Roman"/>
                <w:b/>
                <w:bCs/>
                <w:color w:val="FFFFFF"/>
                <w:sz w:val="20"/>
                <w:szCs w:val="20"/>
              </w:rPr>
              <w:t>Number</w:t>
            </w:r>
          </w:p>
        </w:tc>
        <w:tc>
          <w:tcPr>
            <w:tcW w:w="2000" w:type="dxa"/>
            <w:vMerge w:val="restart"/>
            <w:tcBorders>
              <w:top w:val="nil"/>
              <w:left w:val="single" w:sz="8" w:space="0" w:color="auto"/>
              <w:bottom w:val="single" w:sz="8" w:space="0" w:color="000000"/>
              <w:right w:val="single" w:sz="8" w:space="0" w:color="auto"/>
            </w:tcBorders>
            <w:shd w:val="clear" w:color="000000" w:fill="215867"/>
            <w:noWrap/>
            <w:vAlign w:val="center"/>
            <w:hideMark/>
          </w:tcPr>
          <w:p w14:paraId="7E464307" w14:textId="77777777" w:rsidR="00426A6F" w:rsidRPr="00426A6F" w:rsidRDefault="00426A6F" w:rsidP="00426A6F">
            <w:pPr>
              <w:keepNext/>
              <w:keepLines/>
              <w:spacing w:after="0" w:line="240" w:lineRule="auto"/>
              <w:jc w:val="center"/>
              <w:rPr>
                <w:rFonts w:eastAsia="Times New Roman" w:cs="Times New Roman"/>
                <w:b/>
                <w:bCs/>
                <w:color w:val="FFFFFF"/>
                <w:sz w:val="20"/>
                <w:szCs w:val="20"/>
              </w:rPr>
            </w:pPr>
            <w:r w:rsidRPr="00426A6F">
              <w:rPr>
                <w:rFonts w:eastAsia="Times New Roman" w:cs="Times New Roman"/>
                <w:b/>
                <w:bCs/>
                <w:color w:val="FFFFFF"/>
                <w:sz w:val="20"/>
                <w:szCs w:val="20"/>
              </w:rPr>
              <w:t>Total wages /</w:t>
            </w:r>
          </w:p>
          <w:p w14:paraId="68867115" w14:textId="77777777" w:rsidR="00426A6F" w:rsidRPr="00426A6F" w:rsidRDefault="00426A6F" w:rsidP="00426A6F">
            <w:pPr>
              <w:keepNext/>
              <w:keepLines/>
              <w:spacing w:after="0" w:line="240" w:lineRule="auto"/>
              <w:jc w:val="center"/>
              <w:rPr>
                <w:rFonts w:eastAsia="Times New Roman" w:cs="Times New Roman"/>
                <w:b/>
                <w:bCs/>
                <w:color w:val="FFFFFF"/>
                <w:sz w:val="20"/>
                <w:szCs w:val="20"/>
              </w:rPr>
            </w:pPr>
            <w:r w:rsidRPr="00426A6F">
              <w:rPr>
                <w:rFonts w:eastAsia="Times New Roman" w:cs="Times New Roman"/>
                <w:b/>
                <w:bCs/>
                <w:color w:val="FFFFFF"/>
                <w:sz w:val="20"/>
                <w:szCs w:val="20"/>
              </w:rPr>
              <w:t>pensions (NIS)</w:t>
            </w:r>
          </w:p>
        </w:tc>
        <w:tc>
          <w:tcPr>
            <w:tcW w:w="2316" w:type="dxa"/>
            <w:tcBorders>
              <w:top w:val="nil"/>
              <w:left w:val="nil"/>
              <w:bottom w:val="nil"/>
              <w:right w:val="single" w:sz="8" w:space="0" w:color="auto"/>
            </w:tcBorders>
            <w:shd w:val="clear" w:color="000000" w:fill="215867"/>
            <w:noWrap/>
            <w:vAlign w:val="center"/>
            <w:hideMark/>
          </w:tcPr>
          <w:p w14:paraId="08AD111E" w14:textId="77777777" w:rsidR="00426A6F" w:rsidRPr="00426A6F" w:rsidRDefault="00426A6F" w:rsidP="00426A6F">
            <w:pPr>
              <w:keepNext/>
              <w:keepLines/>
              <w:spacing w:after="0" w:line="240" w:lineRule="auto"/>
              <w:jc w:val="center"/>
              <w:rPr>
                <w:rFonts w:eastAsia="Times New Roman" w:cs="Times New Roman"/>
                <w:b/>
                <w:bCs/>
                <w:color w:val="FFFFFF"/>
                <w:sz w:val="20"/>
                <w:szCs w:val="20"/>
              </w:rPr>
            </w:pPr>
            <w:r w:rsidRPr="00426A6F">
              <w:rPr>
                <w:rFonts w:eastAsia="Times New Roman" w:cs="Times New Roman"/>
                <w:b/>
                <w:bCs/>
                <w:color w:val="FFFFFF"/>
                <w:sz w:val="20"/>
                <w:szCs w:val="20"/>
              </w:rPr>
              <w:t xml:space="preserve">Average </w:t>
            </w:r>
          </w:p>
        </w:tc>
      </w:tr>
      <w:tr w:rsidR="00426A6F" w:rsidRPr="00426A6F" w14:paraId="0B8599D2" w14:textId="77777777" w:rsidTr="00DF20A2">
        <w:trPr>
          <w:trHeight w:val="300"/>
          <w:jc w:val="center"/>
        </w:trPr>
        <w:tc>
          <w:tcPr>
            <w:tcW w:w="3400" w:type="dxa"/>
            <w:vMerge/>
            <w:tcBorders>
              <w:top w:val="nil"/>
              <w:left w:val="single" w:sz="8" w:space="0" w:color="auto"/>
              <w:bottom w:val="single" w:sz="8" w:space="0" w:color="000000"/>
              <w:right w:val="single" w:sz="8" w:space="0" w:color="auto"/>
            </w:tcBorders>
            <w:vAlign w:val="center"/>
            <w:hideMark/>
          </w:tcPr>
          <w:p w14:paraId="427D9450" w14:textId="77777777" w:rsidR="00426A6F" w:rsidRPr="00426A6F" w:rsidRDefault="00426A6F" w:rsidP="00426A6F">
            <w:pPr>
              <w:keepNext/>
              <w:keepLines/>
              <w:spacing w:after="0" w:line="240" w:lineRule="auto"/>
              <w:jc w:val="both"/>
              <w:rPr>
                <w:rFonts w:eastAsia="Times New Roman" w:cs="Times New Roman"/>
                <w:b/>
                <w:bCs/>
                <w:color w:val="FFFFFF"/>
                <w:sz w:val="20"/>
                <w:szCs w:val="20"/>
              </w:rPr>
            </w:pPr>
          </w:p>
        </w:tc>
        <w:tc>
          <w:tcPr>
            <w:tcW w:w="1500" w:type="dxa"/>
            <w:vMerge/>
            <w:tcBorders>
              <w:top w:val="nil"/>
              <w:left w:val="single" w:sz="8" w:space="0" w:color="auto"/>
              <w:bottom w:val="single" w:sz="8" w:space="0" w:color="000000"/>
              <w:right w:val="single" w:sz="8" w:space="0" w:color="auto"/>
            </w:tcBorders>
            <w:vAlign w:val="center"/>
            <w:hideMark/>
          </w:tcPr>
          <w:p w14:paraId="66AFA697" w14:textId="77777777" w:rsidR="00426A6F" w:rsidRPr="00426A6F" w:rsidRDefault="00426A6F" w:rsidP="00426A6F">
            <w:pPr>
              <w:keepNext/>
              <w:keepLines/>
              <w:spacing w:after="0" w:line="240" w:lineRule="auto"/>
              <w:jc w:val="both"/>
              <w:rPr>
                <w:rFonts w:eastAsia="Times New Roman" w:cs="Times New Roman"/>
                <w:b/>
                <w:bCs/>
                <w:color w:val="FFFFFF"/>
                <w:sz w:val="20"/>
                <w:szCs w:val="20"/>
              </w:rPr>
            </w:pPr>
          </w:p>
        </w:tc>
        <w:tc>
          <w:tcPr>
            <w:tcW w:w="2000" w:type="dxa"/>
            <w:vMerge/>
            <w:tcBorders>
              <w:top w:val="nil"/>
              <w:left w:val="single" w:sz="8" w:space="0" w:color="auto"/>
              <w:bottom w:val="single" w:sz="8" w:space="0" w:color="000000"/>
              <w:right w:val="single" w:sz="8" w:space="0" w:color="auto"/>
            </w:tcBorders>
            <w:vAlign w:val="center"/>
            <w:hideMark/>
          </w:tcPr>
          <w:p w14:paraId="7B96CD69" w14:textId="77777777" w:rsidR="00426A6F" w:rsidRPr="00426A6F" w:rsidRDefault="00426A6F" w:rsidP="00426A6F">
            <w:pPr>
              <w:keepNext/>
              <w:keepLines/>
              <w:spacing w:after="0" w:line="240" w:lineRule="auto"/>
              <w:jc w:val="both"/>
              <w:rPr>
                <w:rFonts w:eastAsia="Times New Roman" w:cs="Times New Roman"/>
                <w:b/>
                <w:bCs/>
                <w:color w:val="FFFFFF"/>
                <w:sz w:val="20"/>
                <w:szCs w:val="20"/>
              </w:rPr>
            </w:pPr>
          </w:p>
        </w:tc>
        <w:tc>
          <w:tcPr>
            <w:tcW w:w="2316" w:type="dxa"/>
            <w:tcBorders>
              <w:top w:val="nil"/>
              <w:left w:val="nil"/>
              <w:bottom w:val="single" w:sz="8" w:space="0" w:color="auto"/>
              <w:right w:val="single" w:sz="8" w:space="0" w:color="auto"/>
            </w:tcBorders>
            <w:shd w:val="clear" w:color="000000" w:fill="215867"/>
            <w:noWrap/>
            <w:vAlign w:val="center"/>
            <w:hideMark/>
          </w:tcPr>
          <w:p w14:paraId="63533E30" w14:textId="77777777" w:rsidR="00426A6F" w:rsidRPr="00426A6F" w:rsidRDefault="00426A6F" w:rsidP="00426A6F">
            <w:pPr>
              <w:keepNext/>
              <w:keepLines/>
              <w:spacing w:after="0" w:line="240" w:lineRule="auto"/>
              <w:jc w:val="center"/>
              <w:rPr>
                <w:rFonts w:eastAsia="Times New Roman" w:cs="Times New Roman"/>
                <w:b/>
                <w:bCs/>
                <w:color w:val="FFFFFF"/>
                <w:sz w:val="20"/>
                <w:szCs w:val="20"/>
              </w:rPr>
            </w:pPr>
            <w:r w:rsidRPr="00426A6F">
              <w:rPr>
                <w:rFonts w:eastAsia="Times New Roman" w:cs="Times New Roman"/>
                <w:b/>
                <w:bCs/>
                <w:color w:val="FFFFFF"/>
                <w:sz w:val="20"/>
                <w:szCs w:val="20"/>
              </w:rPr>
              <w:t>wages/ pensions (NIS)</w:t>
            </w:r>
          </w:p>
        </w:tc>
      </w:tr>
      <w:tr w:rsidR="00426A6F" w:rsidRPr="00426A6F" w14:paraId="217F6325" w14:textId="77777777" w:rsidTr="00DF20A2">
        <w:trPr>
          <w:trHeight w:val="288"/>
          <w:jc w:val="center"/>
        </w:trPr>
        <w:tc>
          <w:tcPr>
            <w:tcW w:w="3400" w:type="dxa"/>
            <w:tcBorders>
              <w:top w:val="nil"/>
              <w:left w:val="single" w:sz="8" w:space="0" w:color="auto"/>
              <w:bottom w:val="single" w:sz="8" w:space="0" w:color="auto"/>
              <w:right w:val="single" w:sz="8" w:space="0" w:color="auto"/>
            </w:tcBorders>
            <w:shd w:val="pct12" w:color="000000" w:fill="D9D9D9"/>
            <w:noWrap/>
            <w:vAlign w:val="center"/>
            <w:hideMark/>
          </w:tcPr>
          <w:p w14:paraId="1F6AD3B9" w14:textId="77777777" w:rsidR="00426A6F" w:rsidRPr="00426A6F" w:rsidRDefault="00426A6F" w:rsidP="00426A6F">
            <w:pPr>
              <w:keepNext/>
              <w:keepLines/>
              <w:spacing w:after="0" w:line="240" w:lineRule="auto"/>
              <w:jc w:val="center"/>
              <w:rPr>
                <w:rFonts w:eastAsia="Times New Roman" w:cs="Times New Roman"/>
                <w:b/>
                <w:bCs/>
                <w:color w:val="000000"/>
                <w:sz w:val="20"/>
                <w:szCs w:val="20"/>
              </w:rPr>
            </w:pPr>
            <w:r w:rsidRPr="00426A6F">
              <w:rPr>
                <w:rFonts w:eastAsia="Times New Roman" w:cs="Times New Roman"/>
                <w:b/>
                <w:bCs/>
                <w:color w:val="000000"/>
                <w:sz w:val="20"/>
                <w:szCs w:val="20"/>
              </w:rPr>
              <w:t>Active contributors</w:t>
            </w:r>
          </w:p>
        </w:tc>
        <w:tc>
          <w:tcPr>
            <w:tcW w:w="1500" w:type="dxa"/>
            <w:tcBorders>
              <w:top w:val="nil"/>
              <w:left w:val="nil"/>
              <w:bottom w:val="single" w:sz="8" w:space="0" w:color="auto"/>
              <w:right w:val="single" w:sz="8" w:space="0" w:color="auto"/>
            </w:tcBorders>
            <w:shd w:val="clear" w:color="000000" w:fill="D9D9D9"/>
            <w:vAlign w:val="center"/>
            <w:hideMark/>
          </w:tcPr>
          <w:p w14:paraId="60493027" w14:textId="77777777" w:rsidR="00426A6F" w:rsidRPr="00426A6F" w:rsidRDefault="00426A6F" w:rsidP="00426A6F">
            <w:pPr>
              <w:keepNext/>
              <w:keepLines/>
              <w:spacing w:after="0" w:line="240" w:lineRule="auto"/>
              <w:jc w:val="center"/>
              <w:rPr>
                <w:rFonts w:eastAsia="Times New Roman" w:cs="Times New Roman"/>
                <w:b/>
                <w:bCs/>
                <w:color w:val="000000"/>
                <w:sz w:val="20"/>
                <w:szCs w:val="20"/>
              </w:rPr>
            </w:pPr>
            <w:r w:rsidRPr="00426A6F">
              <w:rPr>
                <w:rFonts w:eastAsia="Times New Roman" w:cs="Times New Roman"/>
                <w:b/>
                <w:bCs/>
                <w:color w:val="000000"/>
                <w:sz w:val="20"/>
                <w:szCs w:val="20"/>
              </w:rPr>
              <w:t>63,724</w:t>
            </w:r>
          </w:p>
        </w:tc>
        <w:tc>
          <w:tcPr>
            <w:tcW w:w="2000" w:type="dxa"/>
            <w:tcBorders>
              <w:top w:val="nil"/>
              <w:left w:val="nil"/>
              <w:bottom w:val="single" w:sz="8" w:space="0" w:color="auto"/>
              <w:right w:val="single" w:sz="8" w:space="0" w:color="auto"/>
            </w:tcBorders>
            <w:shd w:val="clear" w:color="000000" w:fill="D9D9D9"/>
            <w:vAlign w:val="center"/>
            <w:hideMark/>
          </w:tcPr>
          <w:p w14:paraId="72C94119" w14:textId="77777777" w:rsidR="00426A6F" w:rsidRPr="00426A6F" w:rsidRDefault="00426A6F" w:rsidP="00426A6F">
            <w:pPr>
              <w:keepNext/>
              <w:keepLines/>
              <w:spacing w:after="0" w:line="240" w:lineRule="auto"/>
              <w:jc w:val="center"/>
              <w:rPr>
                <w:rFonts w:eastAsia="Times New Roman" w:cs="Times New Roman"/>
                <w:b/>
                <w:bCs/>
                <w:color w:val="000000"/>
                <w:sz w:val="20"/>
                <w:szCs w:val="20"/>
              </w:rPr>
            </w:pPr>
            <w:r w:rsidRPr="00426A6F">
              <w:rPr>
                <w:rFonts w:eastAsia="Times New Roman" w:cs="Times New Roman"/>
                <w:b/>
                <w:bCs/>
                <w:color w:val="000000"/>
                <w:sz w:val="20"/>
                <w:szCs w:val="20"/>
              </w:rPr>
              <w:t>184,864,664.78</w:t>
            </w:r>
          </w:p>
        </w:tc>
        <w:tc>
          <w:tcPr>
            <w:tcW w:w="2316" w:type="dxa"/>
            <w:tcBorders>
              <w:top w:val="nil"/>
              <w:left w:val="nil"/>
              <w:bottom w:val="single" w:sz="8" w:space="0" w:color="auto"/>
              <w:right w:val="single" w:sz="8" w:space="0" w:color="auto"/>
            </w:tcBorders>
            <w:shd w:val="clear" w:color="000000" w:fill="D9D9D9"/>
            <w:vAlign w:val="center"/>
            <w:hideMark/>
          </w:tcPr>
          <w:p w14:paraId="2DD362BB" w14:textId="77777777" w:rsidR="00426A6F" w:rsidRPr="00426A6F" w:rsidRDefault="00426A6F" w:rsidP="00426A6F">
            <w:pPr>
              <w:keepNext/>
              <w:keepLines/>
              <w:spacing w:after="0" w:line="240" w:lineRule="auto"/>
              <w:jc w:val="center"/>
              <w:rPr>
                <w:rFonts w:eastAsia="Times New Roman" w:cs="Times New Roman"/>
                <w:b/>
                <w:bCs/>
                <w:color w:val="000000"/>
                <w:sz w:val="20"/>
                <w:szCs w:val="20"/>
              </w:rPr>
            </w:pPr>
            <w:r w:rsidRPr="00426A6F">
              <w:rPr>
                <w:rFonts w:eastAsia="Times New Roman" w:cs="Times New Roman"/>
                <w:b/>
                <w:bCs/>
                <w:color w:val="000000"/>
                <w:sz w:val="20"/>
                <w:szCs w:val="20"/>
              </w:rPr>
              <w:t>2,901</w:t>
            </w:r>
          </w:p>
        </w:tc>
      </w:tr>
      <w:tr w:rsidR="00426A6F" w:rsidRPr="00426A6F" w14:paraId="1FBE2B91" w14:textId="77777777" w:rsidTr="00DF20A2">
        <w:trPr>
          <w:trHeight w:val="288"/>
          <w:jc w:val="center"/>
        </w:trPr>
        <w:tc>
          <w:tcPr>
            <w:tcW w:w="3400" w:type="dxa"/>
            <w:tcBorders>
              <w:top w:val="nil"/>
              <w:left w:val="single" w:sz="8" w:space="0" w:color="auto"/>
              <w:bottom w:val="single" w:sz="8" w:space="0" w:color="auto"/>
              <w:right w:val="single" w:sz="8" w:space="0" w:color="auto"/>
            </w:tcBorders>
            <w:shd w:val="clear" w:color="000000" w:fill="FFFFFF"/>
            <w:noWrap/>
            <w:vAlign w:val="center"/>
            <w:hideMark/>
          </w:tcPr>
          <w:p w14:paraId="2F0B59A9"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Old age and early retirement</w:t>
            </w:r>
          </w:p>
        </w:tc>
        <w:tc>
          <w:tcPr>
            <w:tcW w:w="1500" w:type="dxa"/>
            <w:tcBorders>
              <w:top w:val="nil"/>
              <w:left w:val="nil"/>
              <w:bottom w:val="single" w:sz="8" w:space="0" w:color="auto"/>
              <w:right w:val="single" w:sz="8" w:space="0" w:color="auto"/>
            </w:tcBorders>
            <w:shd w:val="clear" w:color="000000" w:fill="FFFFFF"/>
            <w:vAlign w:val="center"/>
            <w:hideMark/>
          </w:tcPr>
          <w:p w14:paraId="617B6C5A"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771</w:t>
            </w:r>
          </w:p>
        </w:tc>
        <w:tc>
          <w:tcPr>
            <w:tcW w:w="2000" w:type="dxa"/>
            <w:tcBorders>
              <w:top w:val="nil"/>
              <w:left w:val="nil"/>
              <w:bottom w:val="single" w:sz="8" w:space="0" w:color="auto"/>
              <w:right w:val="single" w:sz="8" w:space="0" w:color="auto"/>
            </w:tcBorders>
            <w:shd w:val="clear" w:color="000000" w:fill="FFFFFF"/>
            <w:vAlign w:val="center"/>
            <w:hideMark/>
          </w:tcPr>
          <w:p w14:paraId="56F8AF3B"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2,885,849.24</w:t>
            </w:r>
          </w:p>
        </w:tc>
        <w:tc>
          <w:tcPr>
            <w:tcW w:w="2316" w:type="dxa"/>
            <w:tcBorders>
              <w:top w:val="nil"/>
              <w:left w:val="nil"/>
              <w:bottom w:val="single" w:sz="8" w:space="0" w:color="auto"/>
              <w:right w:val="single" w:sz="8" w:space="0" w:color="auto"/>
            </w:tcBorders>
            <w:shd w:val="clear" w:color="000000" w:fill="FFFFFF"/>
            <w:vAlign w:val="center"/>
            <w:hideMark/>
          </w:tcPr>
          <w:p w14:paraId="1D6751E9"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3,743</w:t>
            </w:r>
          </w:p>
        </w:tc>
      </w:tr>
      <w:tr w:rsidR="00426A6F" w:rsidRPr="00426A6F" w14:paraId="33830F10" w14:textId="77777777" w:rsidTr="00DF20A2">
        <w:trPr>
          <w:trHeight w:val="288"/>
          <w:jc w:val="center"/>
        </w:trPr>
        <w:tc>
          <w:tcPr>
            <w:tcW w:w="3400" w:type="dxa"/>
            <w:tcBorders>
              <w:top w:val="nil"/>
              <w:left w:val="single" w:sz="8" w:space="0" w:color="auto"/>
              <w:bottom w:val="single" w:sz="8" w:space="0" w:color="auto"/>
              <w:right w:val="single" w:sz="8" w:space="0" w:color="auto"/>
            </w:tcBorders>
            <w:shd w:val="clear" w:color="000000" w:fill="FFFFFF"/>
            <w:noWrap/>
            <w:vAlign w:val="center"/>
            <w:hideMark/>
          </w:tcPr>
          <w:p w14:paraId="5D9A1DEF"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Disability</w:t>
            </w:r>
          </w:p>
        </w:tc>
        <w:tc>
          <w:tcPr>
            <w:tcW w:w="1500" w:type="dxa"/>
            <w:tcBorders>
              <w:top w:val="nil"/>
              <w:left w:val="nil"/>
              <w:bottom w:val="single" w:sz="8" w:space="0" w:color="auto"/>
              <w:right w:val="single" w:sz="8" w:space="0" w:color="auto"/>
            </w:tcBorders>
            <w:shd w:val="clear" w:color="000000" w:fill="FFFFFF"/>
            <w:vAlign w:val="center"/>
            <w:hideMark/>
          </w:tcPr>
          <w:p w14:paraId="7C7B45DE"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8</w:t>
            </w:r>
          </w:p>
        </w:tc>
        <w:tc>
          <w:tcPr>
            <w:tcW w:w="2000" w:type="dxa"/>
            <w:tcBorders>
              <w:top w:val="nil"/>
              <w:left w:val="nil"/>
              <w:bottom w:val="single" w:sz="8" w:space="0" w:color="auto"/>
              <w:right w:val="single" w:sz="8" w:space="0" w:color="auto"/>
            </w:tcBorders>
            <w:shd w:val="clear" w:color="000000" w:fill="FFFFFF"/>
            <w:vAlign w:val="center"/>
            <w:hideMark/>
          </w:tcPr>
          <w:p w14:paraId="20345301"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14,883.78</w:t>
            </w:r>
          </w:p>
        </w:tc>
        <w:tc>
          <w:tcPr>
            <w:tcW w:w="2316" w:type="dxa"/>
            <w:tcBorders>
              <w:top w:val="nil"/>
              <w:left w:val="nil"/>
              <w:bottom w:val="single" w:sz="8" w:space="0" w:color="auto"/>
              <w:right w:val="single" w:sz="8" w:space="0" w:color="auto"/>
            </w:tcBorders>
            <w:shd w:val="clear" w:color="000000" w:fill="FFFFFF"/>
            <w:vAlign w:val="center"/>
            <w:hideMark/>
          </w:tcPr>
          <w:p w14:paraId="126122DC"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1,860</w:t>
            </w:r>
          </w:p>
        </w:tc>
      </w:tr>
      <w:tr w:rsidR="00426A6F" w:rsidRPr="00426A6F" w14:paraId="527A935D" w14:textId="77777777" w:rsidTr="00DF20A2">
        <w:trPr>
          <w:trHeight w:val="288"/>
          <w:jc w:val="center"/>
        </w:trPr>
        <w:tc>
          <w:tcPr>
            <w:tcW w:w="3400" w:type="dxa"/>
            <w:tcBorders>
              <w:top w:val="nil"/>
              <w:left w:val="single" w:sz="8" w:space="0" w:color="auto"/>
              <w:bottom w:val="single" w:sz="8" w:space="0" w:color="auto"/>
              <w:right w:val="single" w:sz="8" w:space="0" w:color="auto"/>
            </w:tcBorders>
            <w:shd w:val="clear" w:color="000000" w:fill="FFFFFF"/>
            <w:noWrap/>
            <w:vAlign w:val="center"/>
            <w:hideMark/>
          </w:tcPr>
          <w:p w14:paraId="45E5BB0B"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 xml:space="preserve"> Survivors</w:t>
            </w:r>
          </w:p>
        </w:tc>
        <w:tc>
          <w:tcPr>
            <w:tcW w:w="1500" w:type="dxa"/>
            <w:tcBorders>
              <w:top w:val="nil"/>
              <w:left w:val="nil"/>
              <w:bottom w:val="single" w:sz="8" w:space="0" w:color="auto"/>
              <w:right w:val="single" w:sz="8" w:space="0" w:color="auto"/>
            </w:tcBorders>
            <w:shd w:val="clear" w:color="000000" w:fill="FFFFFF"/>
            <w:vAlign w:val="center"/>
            <w:hideMark/>
          </w:tcPr>
          <w:p w14:paraId="194573DC"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2,976</w:t>
            </w:r>
          </w:p>
        </w:tc>
        <w:tc>
          <w:tcPr>
            <w:tcW w:w="2000" w:type="dxa"/>
            <w:tcBorders>
              <w:top w:val="nil"/>
              <w:left w:val="nil"/>
              <w:bottom w:val="single" w:sz="8" w:space="0" w:color="auto"/>
              <w:right w:val="single" w:sz="8" w:space="0" w:color="auto"/>
            </w:tcBorders>
            <w:shd w:val="clear" w:color="000000" w:fill="FFFFFF"/>
            <w:vAlign w:val="center"/>
            <w:hideMark/>
          </w:tcPr>
          <w:p w14:paraId="187A70C0"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1,548,555.11</w:t>
            </w:r>
          </w:p>
        </w:tc>
        <w:tc>
          <w:tcPr>
            <w:tcW w:w="2316" w:type="dxa"/>
            <w:tcBorders>
              <w:top w:val="nil"/>
              <w:left w:val="nil"/>
              <w:bottom w:val="single" w:sz="8" w:space="0" w:color="auto"/>
              <w:right w:val="single" w:sz="8" w:space="0" w:color="auto"/>
            </w:tcBorders>
            <w:shd w:val="clear" w:color="000000" w:fill="FFFFFF"/>
            <w:vAlign w:val="center"/>
            <w:hideMark/>
          </w:tcPr>
          <w:p w14:paraId="2C444793"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520</w:t>
            </w:r>
          </w:p>
        </w:tc>
      </w:tr>
      <w:tr w:rsidR="00426A6F" w:rsidRPr="00426A6F" w14:paraId="3AF02D77" w14:textId="77777777" w:rsidTr="00DF20A2">
        <w:trPr>
          <w:trHeight w:val="288"/>
          <w:jc w:val="center"/>
        </w:trPr>
        <w:tc>
          <w:tcPr>
            <w:tcW w:w="3400" w:type="dxa"/>
            <w:tcBorders>
              <w:top w:val="nil"/>
              <w:left w:val="single" w:sz="8" w:space="0" w:color="auto"/>
              <w:bottom w:val="single" w:sz="8" w:space="0" w:color="auto"/>
              <w:right w:val="single" w:sz="8" w:space="0" w:color="auto"/>
            </w:tcBorders>
            <w:shd w:val="clear" w:color="000000" w:fill="D8D8D8"/>
            <w:noWrap/>
            <w:vAlign w:val="center"/>
            <w:hideMark/>
          </w:tcPr>
          <w:p w14:paraId="43744322" w14:textId="77777777" w:rsidR="00426A6F" w:rsidRPr="00426A6F" w:rsidRDefault="00426A6F" w:rsidP="00426A6F">
            <w:pPr>
              <w:keepNext/>
              <w:keepLines/>
              <w:spacing w:after="0" w:line="240" w:lineRule="auto"/>
              <w:jc w:val="center"/>
              <w:rPr>
                <w:rFonts w:eastAsia="Times New Roman" w:cs="Times New Roman"/>
                <w:b/>
                <w:bCs/>
                <w:color w:val="000000"/>
                <w:sz w:val="20"/>
                <w:szCs w:val="20"/>
              </w:rPr>
            </w:pPr>
            <w:r w:rsidRPr="00426A6F">
              <w:rPr>
                <w:rFonts w:eastAsia="Times New Roman" w:cs="Times New Roman"/>
                <w:b/>
                <w:bCs/>
                <w:color w:val="000000"/>
                <w:sz w:val="20"/>
                <w:szCs w:val="20"/>
              </w:rPr>
              <w:t>Total beneficiaries</w:t>
            </w:r>
          </w:p>
        </w:tc>
        <w:tc>
          <w:tcPr>
            <w:tcW w:w="1500" w:type="dxa"/>
            <w:tcBorders>
              <w:top w:val="nil"/>
              <w:left w:val="nil"/>
              <w:bottom w:val="single" w:sz="8" w:space="0" w:color="auto"/>
              <w:right w:val="single" w:sz="8" w:space="0" w:color="auto"/>
            </w:tcBorders>
            <w:shd w:val="clear" w:color="000000" w:fill="D8D8D8"/>
            <w:vAlign w:val="center"/>
            <w:hideMark/>
          </w:tcPr>
          <w:p w14:paraId="5E403BDA" w14:textId="77777777" w:rsidR="00426A6F" w:rsidRPr="00426A6F" w:rsidRDefault="00426A6F" w:rsidP="00426A6F">
            <w:pPr>
              <w:keepNext/>
              <w:keepLines/>
              <w:spacing w:after="0" w:line="240" w:lineRule="auto"/>
              <w:jc w:val="center"/>
              <w:rPr>
                <w:rFonts w:eastAsia="Times New Roman" w:cs="Times New Roman"/>
                <w:b/>
                <w:bCs/>
                <w:color w:val="000000"/>
                <w:sz w:val="20"/>
                <w:szCs w:val="20"/>
              </w:rPr>
            </w:pPr>
            <w:r w:rsidRPr="00426A6F">
              <w:rPr>
                <w:rFonts w:eastAsia="Times New Roman" w:cs="Times New Roman"/>
                <w:b/>
                <w:bCs/>
                <w:color w:val="000000"/>
                <w:sz w:val="20"/>
                <w:szCs w:val="20"/>
              </w:rPr>
              <w:t>3,755</w:t>
            </w:r>
          </w:p>
        </w:tc>
        <w:tc>
          <w:tcPr>
            <w:tcW w:w="2000" w:type="dxa"/>
            <w:tcBorders>
              <w:top w:val="nil"/>
              <w:left w:val="nil"/>
              <w:bottom w:val="single" w:sz="8" w:space="0" w:color="auto"/>
              <w:right w:val="single" w:sz="8" w:space="0" w:color="auto"/>
            </w:tcBorders>
            <w:shd w:val="clear" w:color="000000" w:fill="D8D8D8"/>
            <w:vAlign w:val="center"/>
            <w:hideMark/>
          </w:tcPr>
          <w:p w14:paraId="6145057E" w14:textId="77777777" w:rsidR="00426A6F" w:rsidRPr="00426A6F" w:rsidRDefault="00426A6F" w:rsidP="00426A6F">
            <w:pPr>
              <w:keepNext/>
              <w:keepLines/>
              <w:spacing w:after="0" w:line="240" w:lineRule="auto"/>
              <w:jc w:val="center"/>
              <w:rPr>
                <w:rFonts w:eastAsia="Times New Roman" w:cs="Times New Roman"/>
                <w:b/>
                <w:bCs/>
                <w:color w:val="000000"/>
                <w:sz w:val="20"/>
                <w:szCs w:val="20"/>
              </w:rPr>
            </w:pPr>
            <w:r w:rsidRPr="00426A6F">
              <w:rPr>
                <w:rFonts w:eastAsia="Times New Roman" w:cs="Times New Roman"/>
                <w:b/>
                <w:bCs/>
                <w:color w:val="000000"/>
                <w:sz w:val="20"/>
                <w:szCs w:val="20"/>
              </w:rPr>
              <w:t>4,449,288</w:t>
            </w:r>
          </w:p>
        </w:tc>
        <w:tc>
          <w:tcPr>
            <w:tcW w:w="2316" w:type="dxa"/>
            <w:tcBorders>
              <w:top w:val="nil"/>
              <w:left w:val="nil"/>
              <w:bottom w:val="single" w:sz="8" w:space="0" w:color="auto"/>
              <w:right w:val="single" w:sz="8" w:space="0" w:color="auto"/>
            </w:tcBorders>
            <w:shd w:val="clear" w:color="000000" w:fill="D8D8D8"/>
            <w:vAlign w:val="center"/>
            <w:hideMark/>
          </w:tcPr>
          <w:p w14:paraId="2FF090CF" w14:textId="77777777" w:rsidR="00426A6F" w:rsidRPr="00426A6F" w:rsidRDefault="00426A6F" w:rsidP="00426A6F">
            <w:pPr>
              <w:keepNext/>
              <w:keepLines/>
              <w:spacing w:after="0" w:line="240" w:lineRule="auto"/>
              <w:jc w:val="center"/>
              <w:rPr>
                <w:rFonts w:eastAsia="Times New Roman" w:cs="Times New Roman"/>
                <w:b/>
                <w:bCs/>
                <w:color w:val="000000"/>
                <w:sz w:val="20"/>
                <w:szCs w:val="20"/>
              </w:rPr>
            </w:pPr>
            <w:r w:rsidRPr="00426A6F">
              <w:rPr>
                <w:rFonts w:eastAsia="Times New Roman" w:cs="Times New Roman"/>
                <w:b/>
                <w:bCs/>
                <w:color w:val="000000"/>
                <w:sz w:val="20"/>
                <w:szCs w:val="20"/>
              </w:rPr>
              <w:t>1,185</w:t>
            </w:r>
          </w:p>
        </w:tc>
      </w:tr>
      <w:tr w:rsidR="00426A6F" w:rsidRPr="00426A6F" w14:paraId="62FDFCFA" w14:textId="77777777" w:rsidTr="00DF20A2">
        <w:trPr>
          <w:trHeight w:val="288"/>
          <w:jc w:val="center"/>
        </w:trPr>
        <w:tc>
          <w:tcPr>
            <w:tcW w:w="3400" w:type="dxa"/>
            <w:vMerge w:val="restart"/>
            <w:tcBorders>
              <w:top w:val="nil"/>
              <w:left w:val="single" w:sz="8" w:space="0" w:color="auto"/>
              <w:bottom w:val="single" w:sz="8" w:space="0" w:color="000000"/>
              <w:right w:val="single" w:sz="8" w:space="0" w:color="auto"/>
            </w:tcBorders>
            <w:shd w:val="clear" w:color="000000" w:fill="215867"/>
            <w:noWrap/>
            <w:vAlign w:val="center"/>
            <w:hideMark/>
          </w:tcPr>
          <w:p w14:paraId="2B0D0706" w14:textId="77777777" w:rsidR="00426A6F" w:rsidRPr="00426A6F" w:rsidRDefault="00426A6F" w:rsidP="00426A6F">
            <w:pPr>
              <w:keepNext/>
              <w:keepLines/>
              <w:spacing w:after="0" w:line="240" w:lineRule="auto"/>
              <w:jc w:val="center"/>
              <w:rPr>
                <w:rFonts w:eastAsia="Times New Roman" w:cs="Times New Roman"/>
                <w:b/>
                <w:bCs/>
                <w:color w:val="FFFFFF"/>
                <w:sz w:val="20"/>
                <w:szCs w:val="20"/>
              </w:rPr>
            </w:pPr>
            <w:r w:rsidRPr="00426A6F">
              <w:rPr>
                <w:rFonts w:eastAsia="Times New Roman" w:cs="Times New Roman"/>
                <w:b/>
                <w:bCs/>
                <w:color w:val="FFFFFF"/>
                <w:sz w:val="20"/>
                <w:szCs w:val="20"/>
              </w:rPr>
              <w:t>Scheme III</w:t>
            </w:r>
          </w:p>
        </w:tc>
        <w:tc>
          <w:tcPr>
            <w:tcW w:w="1500" w:type="dxa"/>
            <w:vMerge w:val="restart"/>
            <w:tcBorders>
              <w:top w:val="nil"/>
              <w:left w:val="single" w:sz="8" w:space="0" w:color="auto"/>
              <w:bottom w:val="single" w:sz="8" w:space="0" w:color="000000"/>
              <w:right w:val="single" w:sz="8" w:space="0" w:color="auto"/>
            </w:tcBorders>
            <w:shd w:val="clear" w:color="000000" w:fill="215867"/>
            <w:noWrap/>
            <w:vAlign w:val="center"/>
            <w:hideMark/>
          </w:tcPr>
          <w:p w14:paraId="2DD32E06" w14:textId="77777777" w:rsidR="00426A6F" w:rsidRPr="00426A6F" w:rsidRDefault="00426A6F" w:rsidP="00426A6F">
            <w:pPr>
              <w:keepNext/>
              <w:keepLines/>
              <w:spacing w:after="0" w:line="240" w:lineRule="auto"/>
              <w:jc w:val="center"/>
              <w:rPr>
                <w:rFonts w:eastAsia="Times New Roman" w:cs="Times New Roman"/>
                <w:b/>
                <w:bCs/>
                <w:color w:val="FFFFFF"/>
                <w:sz w:val="20"/>
                <w:szCs w:val="20"/>
              </w:rPr>
            </w:pPr>
            <w:r w:rsidRPr="00426A6F">
              <w:rPr>
                <w:rFonts w:eastAsia="Times New Roman" w:cs="Times New Roman"/>
                <w:b/>
                <w:bCs/>
                <w:color w:val="FFFFFF"/>
                <w:sz w:val="20"/>
                <w:szCs w:val="20"/>
              </w:rPr>
              <w:t>Number</w:t>
            </w:r>
          </w:p>
        </w:tc>
        <w:tc>
          <w:tcPr>
            <w:tcW w:w="2000" w:type="dxa"/>
            <w:vMerge w:val="restart"/>
            <w:tcBorders>
              <w:top w:val="nil"/>
              <w:left w:val="single" w:sz="8" w:space="0" w:color="auto"/>
              <w:bottom w:val="single" w:sz="8" w:space="0" w:color="000000"/>
              <w:right w:val="single" w:sz="8" w:space="0" w:color="auto"/>
            </w:tcBorders>
            <w:shd w:val="clear" w:color="000000" w:fill="215867"/>
            <w:noWrap/>
            <w:vAlign w:val="center"/>
            <w:hideMark/>
          </w:tcPr>
          <w:p w14:paraId="1999628A" w14:textId="77777777" w:rsidR="00426A6F" w:rsidRPr="00426A6F" w:rsidRDefault="00426A6F" w:rsidP="00426A6F">
            <w:pPr>
              <w:keepNext/>
              <w:keepLines/>
              <w:spacing w:after="0" w:line="240" w:lineRule="auto"/>
              <w:jc w:val="center"/>
              <w:rPr>
                <w:rFonts w:eastAsia="Times New Roman" w:cs="Times New Roman"/>
                <w:b/>
                <w:bCs/>
                <w:color w:val="FFFFFF"/>
                <w:sz w:val="20"/>
                <w:szCs w:val="20"/>
              </w:rPr>
            </w:pPr>
            <w:r w:rsidRPr="00426A6F">
              <w:rPr>
                <w:rFonts w:eastAsia="Times New Roman" w:cs="Times New Roman"/>
                <w:b/>
                <w:bCs/>
                <w:color w:val="FFFFFF"/>
                <w:sz w:val="20"/>
                <w:szCs w:val="20"/>
              </w:rPr>
              <w:t>Total wages /</w:t>
            </w:r>
          </w:p>
          <w:p w14:paraId="2C66111D" w14:textId="77777777" w:rsidR="00426A6F" w:rsidRPr="00426A6F" w:rsidRDefault="00426A6F" w:rsidP="00426A6F">
            <w:pPr>
              <w:keepNext/>
              <w:keepLines/>
              <w:spacing w:after="0" w:line="240" w:lineRule="auto"/>
              <w:jc w:val="center"/>
              <w:rPr>
                <w:rFonts w:eastAsia="Times New Roman" w:cs="Times New Roman"/>
                <w:b/>
                <w:bCs/>
                <w:color w:val="FFFFFF"/>
                <w:sz w:val="20"/>
                <w:szCs w:val="20"/>
              </w:rPr>
            </w:pPr>
            <w:r w:rsidRPr="00426A6F">
              <w:rPr>
                <w:rFonts w:eastAsia="Times New Roman" w:cs="Times New Roman"/>
                <w:b/>
                <w:bCs/>
                <w:color w:val="FFFFFF"/>
                <w:sz w:val="20"/>
                <w:szCs w:val="20"/>
              </w:rPr>
              <w:t>pensions (NIS)</w:t>
            </w:r>
          </w:p>
        </w:tc>
        <w:tc>
          <w:tcPr>
            <w:tcW w:w="2316" w:type="dxa"/>
            <w:tcBorders>
              <w:top w:val="nil"/>
              <w:left w:val="nil"/>
              <w:bottom w:val="nil"/>
              <w:right w:val="single" w:sz="8" w:space="0" w:color="auto"/>
            </w:tcBorders>
            <w:shd w:val="clear" w:color="000000" w:fill="215867"/>
            <w:noWrap/>
            <w:vAlign w:val="center"/>
            <w:hideMark/>
          </w:tcPr>
          <w:p w14:paraId="62AB5C3A" w14:textId="77777777" w:rsidR="00426A6F" w:rsidRPr="00426A6F" w:rsidRDefault="00426A6F" w:rsidP="00426A6F">
            <w:pPr>
              <w:keepNext/>
              <w:keepLines/>
              <w:spacing w:after="0" w:line="240" w:lineRule="auto"/>
              <w:jc w:val="center"/>
              <w:rPr>
                <w:rFonts w:eastAsia="Times New Roman" w:cs="Times New Roman"/>
                <w:b/>
                <w:bCs/>
                <w:color w:val="FFFFFF"/>
                <w:sz w:val="20"/>
                <w:szCs w:val="20"/>
              </w:rPr>
            </w:pPr>
            <w:r w:rsidRPr="00426A6F">
              <w:rPr>
                <w:rFonts w:eastAsia="Times New Roman" w:cs="Times New Roman"/>
                <w:b/>
                <w:bCs/>
                <w:color w:val="FFFFFF"/>
                <w:sz w:val="20"/>
                <w:szCs w:val="20"/>
              </w:rPr>
              <w:t xml:space="preserve">Average </w:t>
            </w:r>
          </w:p>
        </w:tc>
      </w:tr>
      <w:tr w:rsidR="00426A6F" w:rsidRPr="00426A6F" w14:paraId="6785D222" w14:textId="77777777" w:rsidTr="00DF20A2">
        <w:trPr>
          <w:trHeight w:val="300"/>
          <w:jc w:val="center"/>
        </w:trPr>
        <w:tc>
          <w:tcPr>
            <w:tcW w:w="3400" w:type="dxa"/>
            <w:vMerge/>
            <w:tcBorders>
              <w:top w:val="nil"/>
              <w:left w:val="single" w:sz="8" w:space="0" w:color="auto"/>
              <w:bottom w:val="single" w:sz="8" w:space="0" w:color="000000"/>
              <w:right w:val="single" w:sz="8" w:space="0" w:color="auto"/>
            </w:tcBorders>
            <w:vAlign w:val="center"/>
            <w:hideMark/>
          </w:tcPr>
          <w:p w14:paraId="44DEEFD7" w14:textId="77777777" w:rsidR="00426A6F" w:rsidRPr="00426A6F" w:rsidRDefault="00426A6F" w:rsidP="00426A6F">
            <w:pPr>
              <w:keepNext/>
              <w:keepLines/>
              <w:spacing w:after="0" w:line="240" w:lineRule="auto"/>
              <w:jc w:val="both"/>
              <w:rPr>
                <w:rFonts w:eastAsia="Times New Roman" w:cs="Times New Roman"/>
                <w:b/>
                <w:bCs/>
                <w:color w:val="FFFFFF"/>
                <w:sz w:val="20"/>
                <w:szCs w:val="20"/>
              </w:rPr>
            </w:pPr>
          </w:p>
        </w:tc>
        <w:tc>
          <w:tcPr>
            <w:tcW w:w="1500" w:type="dxa"/>
            <w:vMerge/>
            <w:tcBorders>
              <w:top w:val="nil"/>
              <w:left w:val="single" w:sz="8" w:space="0" w:color="auto"/>
              <w:bottom w:val="single" w:sz="8" w:space="0" w:color="000000"/>
              <w:right w:val="single" w:sz="8" w:space="0" w:color="auto"/>
            </w:tcBorders>
            <w:vAlign w:val="center"/>
            <w:hideMark/>
          </w:tcPr>
          <w:p w14:paraId="37A3EFF6" w14:textId="77777777" w:rsidR="00426A6F" w:rsidRPr="00426A6F" w:rsidRDefault="00426A6F" w:rsidP="00426A6F">
            <w:pPr>
              <w:keepNext/>
              <w:keepLines/>
              <w:spacing w:after="0" w:line="240" w:lineRule="auto"/>
              <w:jc w:val="both"/>
              <w:rPr>
                <w:rFonts w:eastAsia="Times New Roman" w:cs="Times New Roman"/>
                <w:b/>
                <w:bCs/>
                <w:color w:val="FFFFFF"/>
                <w:sz w:val="20"/>
                <w:szCs w:val="20"/>
              </w:rPr>
            </w:pPr>
          </w:p>
        </w:tc>
        <w:tc>
          <w:tcPr>
            <w:tcW w:w="2000" w:type="dxa"/>
            <w:vMerge/>
            <w:tcBorders>
              <w:top w:val="nil"/>
              <w:left w:val="single" w:sz="8" w:space="0" w:color="auto"/>
              <w:bottom w:val="single" w:sz="8" w:space="0" w:color="000000"/>
              <w:right w:val="single" w:sz="8" w:space="0" w:color="auto"/>
            </w:tcBorders>
            <w:vAlign w:val="center"/>
            <w:hideMark/>
          </w:tcPr>
          <w:p w14:paraId="27397694" w14:textId="77777777" w:rsidR="00426A6F" w:rsidRPr="00426A6F" w:rsidRDefault="00426A6F" w:rsidP="00426A6F">
            <w:pPr>
              <w:keepNext/>
              <w:keepLines/>
              <w:spacing w:after="0" w:line="240" w:lineRule="auto"/>
              <w:jc w:val="both"/>
              <w:rPr>
                <w:rFonts w:eastAsia="Times New Roman" w:cs="Times New Roman"/>
                <w:b/>
                <w:bCs/>
                <w:color w:val="FFFFFF"/>
                <w:sz w:val="20"/>
                <w:szCs w:val="20"/>
              </w:rPr>
            </w:pPr>
          </w:p>
        </w:tc>
        <w:tc>
          <w:tcPr>
            <w:tcW w:w="2316" w:type="dxa"/>
            <w:tcBorders>
              <w:top w:val="nil"/>
              <w:left w:val="nil"/>
              <w:bottom w:val="single" w:sz="8" w:space="0" w:color="auto"/>
              <w:right w:val="single" w:sz="8" w:space="0" w:color="auto"/>
            </w:tcBorders>
            <w:shd w:val="clear" w:color="000000" w:fill="215867"/>
            <w:noWrap/>
            <w:vAlign w:val="center"/>
            <w:hideMark/>
          </w:tcPr>
          <w:p w14:paraId="6286C6CF" w14:textId="77777777" w:rsidR="00426A6F" w:rsidRPr="00426A6F" w:rsidRDefault="00426A6F" w:rsidP="00426A6F">
            <w:pPr>
              <w:keepNext/>
              <w:keepLines/>
              <w:spacing w:after="0" w:line="240" w:lineRule="auto"/>
              <w:jc w:val="center"/>
              <w:rPr>
                <w:rFonts w:eastAsia="Times New Roman" w:cs="Times New Roman"/>
                <w:b/>
                <w:bCs/>
                <w:color w:val="FFFFFF"/>
                <w:sz w:val="20"/>
                <w:szCs w:val="20"/>
              </w:rPr>
            </w:pPr>
            <w:r w:rsidRPr="00426A6F">
              <w:rPr>
                <w:rFonts w:eastAsia="Times New Roman" w:cs="Times New Roman"/>
                <w:b/>
                <w:bCs/>
                <w:color w:val="FFFFFF"/>
                <w:sz w:val="20"/>
                <w:szCs w:val="20"/>
              </w:rPr>
              <w:t>wages/ pensions (NIS)</w:t>
            </w:r>
          </w:p>
        </w:tc>
      </w:tr>
      <w:tr w:rsidR="00426A6F" w:rsidRPr="00426A6F" w14:paraId="18C3E4E7" w14:textId="77777777" w:rsidTr="00DF20A2">
        <w:trPr>
          <w:trHeight w:val="288"/>
          <w:jc w:val="center"/>
        </w:trPr>
        <w:tc>
          <w:tcPr>
            <w:tcW w:w="3400" w:type="dxa"/>
            <w:tcBorders>
              <w:top w:val="nil"/>
              <w:left w:val="single" w:sz="8" w:space="0" w:color="auto"/>
              <w:bottom w:val="single" w:sz="8" w:space="0" w:color="auto"/>
              <w:right w:val="single" w:sz="8" w:space="0" w:color="auto"/>
            </w:tcBorders>
            <w:shd w:val="pct12" w:color="000000" w:fill="D9D9D9"/>
            <w:noWrap/>
            <w:vAlign w:val="center"/>
            <w:hideMark/>
          </w:tcPr>
          <w:p w14:paraId="13DB4183" w14:textId="77777777" w:rsidR="00426A6F" w:rsidRPr="00426A6F" w:rsidRDefault="00426A6F" w:rsidP="00426A6F">
            <w:pPr>
              <w:keepNext/>
              <w:keepLines/>
              <w:spacing w:after="0" w:line="240" w:lineRule="auto"/>
              <w:jc w:val="center"/>
              <w:rPr>
                <w:rFonts w:eastAsia="Times New Roman" w:cs="Times New Roman"/>
                <w:b/>
                <w:bCs/>
                <w:color w:val="000000"/>
                <w:sz w:val="20"/>
                <w:szCs w:val="20"/>
              </w:rPr>
            </w:pPr>
            <w:r w:rsidRPr="00426A6F">
              <w:rPr>
                <w:rFonts w:eastAsia="Times New Roman" w:cs="Times New Roman"/>
                <w:b/>
                <w:bCs/>
                <w:color w:val="000000"/>
                <w:sz w:val="20"/>
                <w:szCs w:val="20"/>
              </w:rPr>
              <w:t>Active contributors</w:t>
            </w:r>
          </w:p>
        </w:tc>
        <w:tc>
          <w:tcPr>
            <w:tcW w:w="1500" w:type="dxa"/>
            <w:tcBorders>
              <w:top w:val="nil"/>
              <w:left w:val="nil"/>
              <w:bottom w:val="single" w:sz="8" w:space="0" w:color="auto"/>
              <w:right w:val="single" w:sz="8" w:space="0" w:color="auto"/>
            </w:tcBorders>
            <w:shd w:val="clear" w:color="000000" w:fill="D9D9D9"/>
            <w:vAlign w:val="center"/>
            <w:hideMark/>
          </w:tcPr>
          <w:p w14:paraId="5D6D0C4A" w14:textId="77777777" w:rsidR="00426A6F" w:rsidRPr="00426A6F" w:rsidRDefault="00426A6F" w:rsidP="00426A6F">
            <w:pPr>
              <w:keepNext/>
              <w:keepLines/>
              <w:spacing w:after="0" w:line="240" w:lineRule="auto"/>
              <w:jc w:val="center"/>
              <w:rPr>
                <w:rFonts w:eastAsia="Times New Roman" w:cs="Times New Roman"/>
                <w:b/>
                <w:bCs/>
                <w:color w:val="000000"/>
                <w:sz w:val="20"/>
                <w:szCs w:val="20"/>
              </w:rPr>
            </w:pPr>
            <w:r w:rsidRPr="00426A6F">
              <w:rPr>
                <w:rFonts w:eastAsia="Times New Roman" w:cs="Times New Roman"/>
                <w:b/>
                <w:bCs/>
                <w:color w:val="000000"/>
                <w:sz w:val="20"/>
                <w:szCs w:val="20"/>
              </w:rPr>
              <w:t>1,202</w:t>
            </w:r>
          </w:p>
        </w:tc>
        <w:tc>
          <w:tcPr>
            <w:tcW w:w="2000" w:type="dxa"/>
            <w:tcBorders>
              <w:top w:val="nil"/>
              <w:left w:val="nil"/>
              <w:bottom w:val="single" w:sz="8" w:space="0" w:color="auto"/>
              <w:right w:val="single" w:sz="8" w:space="0" w:color="auto"/>
            </w:tcBorders>
            <w:shd w:val="clear" w:color="000000" w:fill="D9D9D9"/>
            <w:vAlign w:val="center"/>
            <w:hideMark/>
          </w:tcPr>
          <w:p w14:paraId="3B7D5A96" w14:textId="77777777" w:rsidR="00426A6F" w:rsidRPr="00426A6F" w:rsidRDefault="00426A6F" w:rsidP="00426A6F">
            <w:pPr>
              <w:keepNext/>
              <w:keepLines/>
              <w:spacing w:after="0" w:line="240" w:lineRule="auto"/>
              <w:jc w:val="center"/>
              <w:rPr>
                <w:rFonts w:eastAsia="Times New Roman" w:cs="Times New Roman"/>
                <w:b/>
                <w:bCs/>
                <w:color w:val="000000"/>
                <w:sz w:val="20"/>
                <w:szCs w:val="20"/>
              </w:rPr>
            </w:pPr>
            <w:r w:rsidRPr="00426A6F">
              <w:rPr>
                <w:rFonts w:eastAsia="Times New Roman" w:cs="Times New Roman"/>
                <w:b/>
                <w:bCs/>
                <w:color w:val="000000"/>
                <w:sz w:val="20"/>
                <w:szCs w:val="20"/>
              </w:rPr>
              <w:t>5,995,286.80</w:t>
            </w:r>
          </w:p>
        </w:tc>
        <w:tc>
          <w:tcPr>
            <w:tcW w:w="2316" w:type="dxa"/>
            <w:tcBorders>
              <w:top w:val="nil"/>
              <w:left w:val="nil"/>
              <w:bottom w:val="single" w:sz="8" w:space="0" w:color="auto"/>
              <w:right w:val="single" w:sz="8" w:space="0" w:color="auto"/>
            </w:tcBorders>
            <w:shd w:val="clear" w:color="000000" w:fill="D9D9D9"/>
            <w:vAlign w:val="center"/>
            <w:hideMark/>
          </w:tcPr>
          <w:p w14:paraId="5308EEF4" w14:textId="77777777" w:rsidR="00426A6F" w:rsidRPr="00426A6F" w:rsidRDefault="00426A6F" w:rsidP="00426A6F">
            <w:pPr>
              <w:keepNext/>
              <w:keepLines/>
              <w:spacing w:after="0" w:line="240" w:lineRule="auto"/>
              <w:jc w:val="center"/>
              <w:rPr>
                <w:rFonts w:eastAsia="Times New Roman" w:cs="Times New Roman"/>
                <w:b/>
                <w:bCs/>
                <w:color w:val="000000"/>
                <w:sz w:val="20"/>
                <w:szCs w:val="20"/>
              </w:rPr>
            </w:pPr>
            <w:r w:rsidRPr="00426A6F">
              <w:rPr>
                <w:rFonts w:eastAsia="Times New Roman" w:cs="Times New Roman"/>
                <w:b/>
                <w:bCs/>
                <w:color w:val="000000"/>
                <w:sz w:val="20"/>
                <w:szCs w:val="20"/>
              </w:rPr>
              <w:t>4,988</w:t>
            </w:r>
          </w:p>
        </w:tc>
      </w:tr>
      <w:tr w:rsidR="00426A6F" w:rsidRPr="00426A6F" w14:paraId="21B8865C" w14:textId="77777777" w:rsidTr="00DF20A2">
        <w:trPr>
          <w:trHeight w:val="288"/>
          <w:jc w:val="center"/>
        </w:trPr>
        <w:tc>
          <w:tcPr>
            <w:tcW w:w="3400" w:type="dxa"/>
            <w:tcBorders>
              <w:top w:val="nil"/>
              <w:left w:val="single" w:sz="8" w:space="0" w:color="auto"/>
              <w:bottom w:val="single" w:sz="8" w:space="0" w:color="auto"/>
              <w:right w:val="single" w:sz="8" w:space="0" w:color="auto"/>
            </w:tcBorders>
            <w:shd w:val="clear" w:color="000000" w:fill="FFFFFF"/>
            <w:noWrap/>
            <w:vAlign w:val="center"/>
            <w:hideMark/>
          </w:tcPr>
          <w:p w14:paraId="2E3138BA"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Old age and early retirement</w:t>
            </w:r>
          </w:p>
        </w:tc>
        <w:tc>
          <w:tcPr>
            <w:tcW w:w="1500" w:type="dxa"/>
            <w:tcBorders>
              <w:top w:val="nil"/>
              <w:left w:val="nil"/>
              <w:bottom w:val="single" w:sz="8" w:space="0" w:color="auto"/>
              <w:right w:val="single" w:sz="8" w:space="0" w:color="auto"/>
            </w:tcBorders>
            <w:shd w:val="clear" w:color="000000" w:fill="FFFFFF"/>
            <w:vAlign w:val="center"/>
            <w:hideMark/>
          </w:tcPr>
          <w:p w14:paraId="315A0400"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5,561</w:t>
            </w:r>
          </w:p>
        </w:tc>
        <w:tc>
          <w:tcPr>
            <w:tcW w:w="2000" w:type="dxa"/>
            <w:tcBorders>
              <w:top w:val="nil"/>
              <w:left w:val="nil"/>
              <w:bottom w:val="single" w:sz="8" w:space="0" w:color="auto"/>
              <w:right w:val="single" w:sz="8" w:space="0" w:color="auto"/>
            </w:tcBorders>
            <w:shd w:val="clear" w:color="000000" w:fill="FFFFFF"/>
            <w:vAlign w:val="center"/>
            <w:hideMark/>
          </w:tcPr>
          <w:p w14:paraId="655831F7"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28,515,134.75</w:t>
            </w:r>
          </w:p>
        </w:tc>
        <w:tc>
          <w:tcPr>
            <w:tcW w:w="2316" w:type="dxa"/>
            <w:tcBorders>
              <w:top w:val="nil"/>
              <w:left w:val="nil"/>
              <w:bottom w:val="single" w:sz="8" w:space="0" w:color="auto"/>
              <w:right w:val="single" w:sz="8" w:space="0" w:color="auto"/>
            </w:tcBorders>
            <w:shd w:val="clear" w:color="000000" w:fill="FFFFFF"/>
            <w:vAlign w:val="center"/>
            <w:hideMark/>
          </w:tcPr>
          <w:p w14:paraId="0381B2E4"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5,128</w:t>
            </w:r>
          </w:p>
        </w:tc>
      </w:tr>
      <w:tr w:rsidR="00426A6F" w:rsidRPr="00426A6F" w14:paraId="31ECA1A6" w14:textId="77777777" w:rsidTr="00DF20A2">
        <w:trPr>
          <w:trHeight w:val="288"/>
          <w:jc w:val="center"/>
        </w:trPr>
        <w:tc>
          <w:tcPr>
            <w:tcW w:w="3400" w:type="dxa"/>
            <w:tcBorders>
              <w:top w:val="nil"/>
              <w:left w:val="single" w:sz="8" w:space="0" w:color="auto"/>
              <w:bottom w:val="single" w:sz="8" w:space="0" w:color="auto"/>
              <w:right w:val="single" w:sz="8" w:space="0" w:color="auto"/>
            </w:tcBorders>
            <w:shd w:val="clear" w:color="000000" w:fill="FFFFFF"/>
            <w:noWrap/>
            <w:vAlign w:val="center"/>
            <w:hideMark/>
          </w:tcPr>
          <w:p w14:paraId="3F072D5F"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Disability</w:t>
            </w:r>
          </w:p>
        </w:tc>
        <w:tc>
          <w:tcPr>
            <w:tcW w:w="1500" w:type="dxa"/>
            <w:tcBorders>
              <w:top w:val="nil"/>
              <w:left w:val="nil"/>
              <w:bottom w:val="single" w:sz="8" w:space="0" w:color="auto"/>
              <w:right w:val="single" w:sz="8" w:space="0" w:color="auto"/>
            </w:tcBorders>
            <w:shd w:val="clear" w:color="000000" w:fill="FFFFFF"/>
            <w:vAlign w:val="center"/>
            <w:hideMark/>
          </w:tcPr>
          <w:p w14:paraId="116466F6"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w:t>
            </w:r>
          </w:p>
        </w:tc>
        <w:tc>
          <w:tcPr>
            <w:tcW w:w="2000" w:type="dxa"/>
            <w:tcBorders>
              <w:top w:val="nil"/>
              <w:left w:val="nil"/>
              <w:bottom w:val="single" w:sz="8" w:space="0" w:color="auto"/>
              <w:right w:val="single" w:sz="8" w:space="0" w:color="auto"/>
            </w:tcBorders>
            <w:shd w:val="clear" w:color="000000" w:fill="FFFFFF"/>
            <w:vAlign w:val="center"/>
            <w:hideMark/>
          </w:tcPr>
          <w:p w14:paraId="53CEAFDA"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w:t>
            </w:r>
          </w:p>
        </w:tc>
        <w:tc>
          <w:tcPr>
            <w:tcW w:w="2316" w:type="dxa"/>
            <w:tcBorders>
              <w:top w:val="nil"/>
              <w:left w:val="nil"/>
              <w:bottom w:val="single" w:sz="8" w:space="0" w:color="auto"/>
              <w:right w:val="single" w:sz="8" w:space="0" w:color="auto"/>
            </w:tcBorders>
            <w:shd w:val="clear" w:color="000000" w:fill="FFFFFF"/>
            <w:vAlign w:val="center"/>
            <w:hideMark/>
          </w:tcPr>
          <w:p w14:paraId="3B3D18C9"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w:t>
            </w:r>
          </w:p>
        </w:tc>
      </w:tr>
      <w:tr w:rsidR="00426A6F" w:rsidRPr="00426A6F" w14:paraId="0FCE32AC" w14:textId="77777777" w:rsidTr="00DF20A2">
        <w:trPr>
          <w:trHeight w:val="288"/>
          <w:jc w:val="center"/>
        </w:trPr>
        <w:tc>
          <w:tcPr>
            <w:tcW w:w="3400" w:type="dxa"/>
            <w:tcBorders>
              <w:top w:val="nil"/>
              <w:left w:val="single" w:sz="8" w:space="0" w:color="auto"/>
              <w:bottom w:val="single" w:sz="8" w:space="0" w:color="auto"/>
              <w:right w:val="single" w:sz="8" w:space="0" w:color="auto"/>
            </w:tcBorders>
            <w:shd w:val="clear" w:color="000000" w:fill="FFFFFF"/>
            <w:noWrap/>
            <w:vAlign w:val="center"/>
            <w:hideMark/>
          </w:tcPr>
          <w:p w14:paraId="5E0233D8"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 xml:space="preserve"> Survivors</w:t>
            </w:r>
          </w:p>
        </w:tc>
        <w:tc>
          <w:tcPr>
            <w:tcW w:w="1500" w:type="dxa"/>
            <w:tcBorders>
              <w:top w:val="nil"/>
              <w:left w:val="nil"/>
              <w:bottom w:val="single" w:sz="8" w:space="0" w:color="auto"/>
              <w:right w:val="single" w:sz="8" w:space="0" w:color="auto"/>
            </w:tcBorders>
            <w:shd w:val="clear" w:color="000000" w:fill="FFFFFF"/>
            <w:vAlign w:val="center"/>
            <w:hideMark/>
          </w:tcPr>
          <w:p w14:paraId="158BDDCE"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3,264</w:t>
            </w:r>
          </w:p>
        </w:tc>
        <w:tc>
          <w:tcPr>
            <w:tcW w:w="2000" w:type="dxa"/>
            <w:tcBorders>
              <w:top w:val="nil"/>
              <w:left w:val="nil"/>
              <w:bottom w:val="single" w:sz="8" w:space="0" w:color="auto"/>
              <w:right w:val="single" w:sz="8" w:space="0" w:color="auto"/>
            </w:tcBorders>
            <w:shd w:val="clear" w:color="000000" w:fill="FFFFFF"/>
            <w:vAlign w:val="center"/>
            <w:hideMark/>
          </w:tcPr>
          <w:p w14:paraId="31C8F6BD"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3,737,759.85</w:t>
            </w:r>
          </w:p>
        </w:tc>
        <w:tc>
          <w:tcPr>
            <w:tcW w:w="2316" w:type="dxa"/>
            <w:tcBorders>
              <w:top w:val="nil"/>
              <w:left w:val="nil"/>
              <w:bottom w:val="single" w:sz="8" w:space="0" w:color="auto"/>
              <w:right w:val="single" w:sz="8" w:space="0" w:color="auto"/>
            </w:tcBorders>
            <w:shd w:val="clear" w:color="000000" w:fill="FFFFFF"/>
            <w:vAlign w:val="center"/>
            <w:hideMark/>
          </w:tcPr>
          <w:p w14:paraId="05AE6E68"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1,145</w:t>
            </w:r>
          </w:p>
        </w:tc>
      </w:tr>
      <w:tr w:rsidR="00426A6F" w:rsidRPr="00426A6F" w14:paraId="21C77EB8" w14:textId="77777777" w:rsidTr="00DF20A2">
        <w:trPr>
          <w:trHeight w:val="288"/>
          <w:jc w:val="center"/>
        </w:trPr>
        <w:tc>
          <w:tcPr>
            <w:tcW w:w="3400" w:type="dxa"/>
            <w:tcBorders>
              <w:top w:val="nil"/>
              <w:left w:val="single" w:sz="8" w:space="0" w:color="auto"/>
              <w:bottom w:val="single" w:sz="8" w:space="0" w:color="auto"/>
              <w:right w:val="single" w:sz="8" w:space="0" w:color="auto"/>
            </w:tcBorders>
            <w:shd w:val="clear" w:color="000000" w:fill="D8D8D8"/>
            <w:noWrap/>
            <w:vAlign w:val="center"/>
            <w:hideMark/>
          </w:tcPr>
          <w:p w14:paraId="747AAE5F" w14:textId="77777777" w:rsidR="00426A6F" w:rsidRPr="00426A6F" w:rsidRDefault="00426A6F" w:rsidP="00426A6F">
            <w:pPr>
              <w:keepNext/>
              <w:keepLines/>
              <w:spacing w:after="0" w:line="240" w:lineRule="auto"/>
              <w:jc w:val="center"/>
              <w:rPr>
                <w:rFonts w:eastAsia="Times New Roman" w:cs="Times New Roman"/>
                <w:b/>
                <w:bCs/>
                <w:color w:val="000000"/>
                <w:sz w:val="20"/>
                <w:szCs w:val="20"/>
              </w:rPr>
            </w:pPr>
            <w:r w:rsidRPr="00426A6F">
              <w:rPr>
                <w:rFonts w:eastAsia="Times New Roman" w:cs="Times New Roman"/>
                <w:b/>
                <w:bCs/>
                <w:color w:val="000000"/>
                <w:sz w:val="20"/>
                <w:szCs w:val="20"/>
              </w:rPr>
              <w:t>Total beneficiaries</w:t>
            </w:r>
          </w:p>
        </w:tc>
        <w:tc>
          <w:tcPr>
            <w:tcW w:w="1500" w:type="dxa"/>
            <w:tcBorders>
              <w:top w:val="nil"/>
              <w:left w:val="nil"/>
              <w:bottom w:val="single" w:sz="8" w:space="0" w:color="auto"/>
              <w:right w:val="single" w:sz="8" w:space="0" w:color="auto"/>
            </w:tcBorders>
            <w:shd w:val="clear" w:color="000000" w:fill="D8D8D8"/>
            <w:vAlign w:val="center"/>
            <w:hideMark/>
          </w:tcPr>
          <w:p w14:paraId="21807411" w14:textId="77777777" w:rsidR="00426A6F" w:rsidRPr="00426A6F" w:rsidRDefault="00426A6F" w:rsidP="00426A6F">
            <w:pPr>
              <w:keepNext/>
              <w:keepLines/>
              <w:spacing w:after="0" w:line="240" w:lineRule="auto"/>
              <w:jc w:val="center"/>
              <w:rPr>
                <w:rFonts w:eastAsia="Times New Roman" w:cs="Times New Roman"/>
                <w:b/>
                <w:bCs/>
                <w:color w:val="000000"/>
                <w:sz w:val="20"/>
                <w:szCs w:val="20"/>
              </w:rPr>
            </w:pPr>
            <w:r w:rsidRPr="00426A6F">
              <w:rPr>
                <w:rFonts w:eastAsia="Times New Roman" w:cs="Times New Roman"/>
                <w:b/>
                <w:bCs/>
                <w:color w:val="000000"/>
                <w:sz w:val="20"/>
                <w:szCs w:val="20"/>
              </w:rPr>
              <w:t>8,825</w:t>
            </w:r>
          </w:p>
        </w:tc>
        <w:tc>
          <w:tcPr>
            <w:tcW w:w="2000" w:type="dxa"/>
            <w:tcBorders>
              <w:top w:val="nil"/>
              <w:left w:val="nil"/>
              <w:bottom w:val="single" w:sz="8" w:space="0" w:color="auto"/>
              <w:right w:val="single" w:sz="8" w:space="0" w:color="auto"/>
            </w:tcBorders>
            <w:shd w:val="clear" w:color="000000" w:fill="D8D8D8"/>
            <w:vAlign w:val="center"/>
            <w:hideMark/>
          </w:tcPr>
          <w:p w14:paraId="57F165E6" w14:textId="77777777" w:rsidR="00426A6F" w:rsidRPr="00426A6F" w:rsidRDefault="00426A6F" w:rsidP="00426A6F">
            <w:pPr>
              <w:keepNext/>
              <w:keepLines/>
              <w:spacing w:after="0" w:line="240" w:lineRule="auto"/>
              <w:jc w:val="center"/>
              <w:rPr>
                <w:rFonts w:eastAsia="Times New Roman" w:cs="Times New Roman"/>
                <w:b/>
                <w:bCs/>
                <w:color w:val="000000"/>
                <w:sz w:val="20"/>
                <w:szCs w:val="20"/>
              </w:rPr>
            </w:pPr>
            <w:r w:rsidRPr="00426A6F">
              <w:rPr>
                <w:rFonts w:eastAsia="Times New Roman" w:cs="Times New Roman"/>
                <w:b/>
                <w:bCs/>
                <w:color w:val="000000"/>
                <w:sz w:val="20"/>
                <w:szCs w:val="20"/>
              </w:rPr>
              <w:t>32,252,895</w:t>
            </w:r>
          </w:p>
        </w:tc>
        <w:tc>
          <w:tcPr>
            <w:tcW w:w="2316" w:type="dxa"/>
            <w:tcBorders>
              <w:top w:val="nil"/>
              <w:left w:val="nil"/>
              <w:bottom w:val="single" w:sz="8" w:space="0" w:color="auto"/>
              <w:right w:val="single" w:sz="8" w:space="0" w:color="auto"/>
            </w:tcBorders>
            <w:shd w:val="clear" w:color="000000" w:fill="D8D8D8"/>
            <w:vAlign w:val="center"/>
            <w:hideMark/>
          </w:tcPr>
          <w:p w14:paraId="62DF0B75" w14:textId="77777777" w:rsidR="00426A6F" w:rsidRPr="00426A6F" w:rsidRDefault="00426A6F" w:rsidP="00426A6F">
            <w:pPr>
              <w:keepNext/>
              <w:keepLines/>
              <w:spacing w:after="0" w:line="240" w:lineRule="auto"/>
              <w:jc w:val="center"/>
              <w:rPr>
                <w:rFonts w:eastAsia="Times New Roman" w:cs="Times New Roman"/>
                <w:b/>
                <w:bCs/>
                <w:color w:val="000000"/>
                <w:sz w:val="20"/>
                <w:szCs w:val="20"/>
              </w:rPr>
            </w:pPr>
            <w:r w:rsidRPr="00426A6F">
              <w:rPr>
                <w:rFonts w:eastAsia="Times New Roman" w:cs="Times New Roman"/>
                <w:b/>
                <w:bCs/>
                <w:color w:val="000000"/>
                <w:sz w:val="20"/>
                <w:szCs w:val="20"/>
              </w:rPr>
              <w:t>3,655</w:t>
            </w:r>
          </w:p>
        </w:tc>
      </w:tr>
      <w:tr w:rsidR="00426A6F" w:rsidRPr="00426A6F" w14:paraId="252D9697" w14:textId="77777777" w:rsidTr="00DF20A2">
        <w:trPr>
          <w:trHeight w:val="288"/>
          <w:jc w:val="center"/>
        </w:trPr>
        <w:tc>
          <w:tcPr>
            <w:tcW w:w="3400" w:type="dxa"/>
            <w:vMerge w:val="restart"/>
            <w:tcBorders>
              <w:top w:val="nil"/>
              <w:left w:val="single" w:sz="8" w:space="0" w:color="auto"/>
              <w:bottom w:val="single" w:sz="8" w:space="0" w:color="000000"/>
              <w:right w:val="single" w:sz="8" w:space="0" w:color="auto"/>
            </w:tcBorders>
            <w:shd w:val="clear" w:color="000000" w:fill="215867"/>
            <w:noWrap/>
            <w:vAlign w:val="center"/>
            <w:hideMark/>
          </w:tcPr>
          <w:p w14:paraId="7D550BF1" w14:textId="77777777" w:rsidR="00426A6F" w:rsidRPr="00426A6F" w:rsidRDefault="00426A6F" w:rsidP="00426A6F">
            <w:pPr>
              <w:keepNext/>
              <w:keepLines/>
              <w:spacing w:after="0" w:line="240" w:lineRule="auto"/>
              <w:jc w:val="center"/>
              <w:rPr>
                <w:rFonts w:eastAsia="Times New Roman" w:cs="Times New Roman"/>
                <w:b/>
                <w:bCs/>
                <w:color w:val="FFFFFF"/>
                <w:sz w:val="20"/>
                <w:szCs w:val="20"/>
              </w:rPr>
            </w:pPr>
            <w:r w:rsidRPr="00426A6F">
              <w:rPr>
                <w:rFonts w:eastAsia="Times New Roman" w:cs="Times New Roman"/>
                <w:b/>
                <w:bCs/>
                <w:color w:val="FFFFFF"/>
                <w:sz w:val="20"/>
                <w:szCs w:val="20"/>
              </w:rPr>
              <w:t>Scheme IV</w:t>
            </w:r>
          </w:p>
        </w:tc>
        <w:tc>
          <w:tcPr>
            <w:tcW w:w="1500" w:type="dxa"/>
            <w:vMerge w:val="restart"/>
            <w:tcBorders>
              <w:top w:val="nil"/>
              <w:left w:val="single" w:sz="8" w:space="0" w:color="auto"/>
              <w:bottom w:val="single" w:sz="8" w:space="0" w:color="000000"/>
              <w:right w:val="single" w:sz="8" w:space="0" w:color="auto"/>
            </w:tcBorders>
            <w:shd w:val="clear" w:color="000000" w:fill="215867"/>
            <w:noWrap/>
            <w:vAlign w:val="center"/>
            <w:hideMark/>
          </w:tcPr>
          <w:p w14:paraId="42B8181C" w14:textId="77777777" w:rsidR="00426A6F" w:rsidRPr="00426A6F" w:rsidRDefault="00426A6F" w:rsidP="00426A6F">
            <w:pPr>
              <w:keepNext/>
              <w:keepLines/>
              <w:spacing w:after="0" w:line="240" w:lineRule="auto"/>
              <w:jc w:val="center"/>
              <w:rPr>
                <w:rFonts w:eastAsia="Times New Roman" w:cs="Times New Roman"/>
                <w:b/>
                <w:bCs/>
                <w:color w:val="FFFFFF"/>
                <w:sz w:val="20"/>
                <w:szCs w:val="20"/>
              </w:rPr>
            </w:pPr>
            <w:r w:rsidRPr="00426A6F">
              <w:rPr>
                <w:rFonts w:eastAsia="Times New Roman" w:cs="Times New Roman"/>
                <w:b/>
                <w:bCs/>
                <w:color w:val="FFFFFF"/>
                <w:sz w:val="20"/>
                <w:szCs w:val="20"/>
              </w:rPr>
              <w:t>Number</w:t>
            </w:r>
          </w:p>
        </w:tc>
        <w:tc>
          <w:tcPr>
            <w:tcW w:w="2000" w:type="dxa"/>
            <w:vMerge w:val="restart"/>
            <w:tcBorders>
              <w:top w:val="nil"/>
              <w:left w:val="single" w:sz="8" w:space="0" w:color="auto"/>
              <w:bottom w:val="single" w:sz="8" w:space="0" w:color="000000"/>
              <w:right w:val="single" w:sz="8" w:space="0" w:color="auto"/>
            </w:tcBorders>
            <w:shd w:val="clear" w:color="000000" w:fill="215867"/>
            <w:noWrap/>
            <w:vAlign w:val="center"/>
            <w:hideMark/>
          </w:tcPr>
          <w:p w14:paraId="2B81B1E1" w14:textId="77777777" w:rsidR="00426A6F" w:rsidRPr="00426A6F" w:rsidRDefault="00426A6F" w:rsidP="00426A6F">
            <w:pPr>
              <w:keepNext/>
              <w:keepLines/>
              <w:spacing w:after="0" w:line="240" w:lineRule="auto"/>
              <w:jc w:val="center"/>
              <w:rPr>
                <w:rFonts w:eastAsia="Times New Roman" w:cs="Times New Roman"/>
                <w:b/>
                <w:bCs/>
                <w:color w:val="FFFFFF"/>
                <w:sz w:val="20"/>
                <w:szCs w:val="20"/>
              </w:rPr>
            </w:pPr>
            <w:r w:rsidRPr="00426A6F">
              <w:rPr>
                <w:rFonts w:eastAsia="Times New Roman" w:cs="Times New Roman"/>
                <w:b/>
                <w:bCs/>
                <w:color w:val="FFFFFF"/>
                <w:sz w:val="20"/>
                <w:szCs w:val="20"/>
              </w:rPr>
              <w:t>Total wages /</w:t>
            </w:r>
          </w:p>
          <w:p w14:paraId="2991D80F" w14:textId="77777777" w:rsidR="00426A6F" w:rsidRPr="00426A6F" w:rsidRDefault="00426A6F" w:rsidP="00426A6F">
            <w:pPr>
              <w:keepNext/>
              <w:keepLines/>
              <w:spacing w:after="0" w:line="240" w:lineRule="auto"/>
              <w:jc w:val="center"/>
              <w:rPr>
                <w:rFonts w:eastAsia="Times New Roman" w:cs="Times New Roman"/>
                <w:b/>
                <w:bCs/>
                <w:color w:val="FFFFFF"/>
                <w:sz w:val="20"/>
                <w:szCs w:val="20"/>
              </w:rPr>
            </w:pPr>
            <w:r w:rsidRPr="00426A6F">
              <w:rPr>
                <w:rFonts w:eastAsia="Times New Roman" w:cs="Times New Roman"/>
                <w:b/>
                <w:bCs/>
                <w:color w:val="FFFFFF"/>
                <w:sz w:val="20"/>
                <w:szCs w:val="20"/>
              </w:rPr>
              <w:t>pensions (NIS)</w:t>
            </w:r>
          </w:p>
        </w:tc>
        <w:tc>
          <w:tcPr>
            <w:tcW w:w="2316" w:type="dxa"/>
            <w:tcBorders>
              <w:top w:val="nil"/>
              <w:left w:val="nil"/>
              <w:bottom w:val="nil"/>
              <w:right w:val="single" w:sz="8" w:space="0" w:color="auto"/>
            </w:tcBorders>
            <w:shd w:val="clear" w:color="000000" w:fill="215867"/>
            <w:noWrap/>
            <w:vAlign w:val="center"/>
            <w:hideMark/>
          </w:tcPr>
          <w:p w14:paraId="5B1A90B0" w14:textId="77777777" w:rsidR="00426A6F" w:rsidRPr="00426A6F" w:rsidRDefault="00426A6F" w:rsidP="00426A6F">
            <w:pPr>
              <w:keepNext/>
              <w:keepLines/>
              <w:spacing w:after="0" w:line="240" w:lineRule="auto"/>
              <w:jc w:val="center"/>
              <w:rPr>
                <w:rFonts w:eastAsia="Times New Roman" w:cs="Times New Roman"/>
                <w:b/>
                <w:bCs/>
                <w:color w:val="FFFFFF"/>
                <w:sz w:val="20"/>
                <w:szCs w:val="20"/>
              </w:rPr>
            </w:pPr>
            <w:r w:rsidRPr="00426A6F">
              <w:rPr>
                <w:rFonts w:eastAsia="Times New Roman" w:cs="Times New Roman"/>
                <w:b/>
                <w:bCs/>
                <w:color w:val="FFFFFF"/>
                <w:sz w:val="20"/>
                <w:szCs w:val="20"/>
              </w:rPr>
              <w:t xml:space="preserve">Average </w:t>
            </w:r>
          </w:p>
        </w:tc>
      </w:tr>
      <w:tr w:rsidR="00426A6F" w:rsidRPr="00426A6F" w14:paraId="4246371B" w14:textId="77777777" w:rsidTr="00DF20A2">
        <w:trPr>
          <w:trHeight w:val="300"/>
          <w:jc w:val="center"/>
        </w:trPr>
        <w:tc>
          <w:tcPr>
            <w:tcW w:w="3400" w:type="dxa"/>
            <w:vMerge/>
            <w:tcBorders>
              <w:top w:val="nil"/>
              <w:left w:val="single" w:sz="8" w:space="0" w:color="auto"/>
              <w:bottom w:val="single" w:sz="8" w:space="0" w:color="000000"/>
              <w:right w:val="single" w:sz="8" w:space="0" w:color="auto"/>
            </w:tcBorders>
            <w:vAlign w:val="center"/>
            <w:hideMark/>
          </w:tcPr>
          <w:p w14:paraId="60F6F2D9" w14:textId="77777777" w:rsidR="00426A6F" w:rsidRPr="00426A6F" w:rsidRDefault="00426A6F" w:rsidP="00426A6F">
            <w:pPr>
              <w:keepNext/>
              <w:keepLines/>
              <w:spacing w:after="0" w:line="240" w:lineRule="auto"/>
              <w:jc w:val="both"/>
              <w:rPr>
                <w:rFonts w:eastAsia="Times New Roman" w:cs="Times New Roman"/>
                <w:b/>
                <w:bCs/>
                <w:color w:val="FFFFFF"/>
                <w:sz w:val="20"/>
                <w:szCs w:val="20"/>
              </w:rPr>
            </w:pPr>
          </w:p>
        </w:tc>
        <w:tc>
          <w:tcPr>
            <w:tcW w:w="1500" w:type="dxa"/>
            <w:vMerge/>
            <w:tcBorders>
              <w:top w:val="nil"/>
              <w:left w:val="single" w:sz="8" w:space="0" w:color="auto"/>
              <w:bottom w:val="single" w:sz="8" w:space="0" w:color="000000"/>
              <w:right w:val="single" w:sz="8" w:space="0" w:color="auto"/>
            </w:tcBorders>
            <w:vAlign w:val="center"/>
            <w:hideMark/>
          </w:tcPr>
          <w:p w14:paraId="7CCF606C" w14:textId="77777777" w:rsidR="00426A6F" w:rsidRPr="00426A6F" w:rsidRDefault="00426A6F" w:rsidP="00426A6F">
            <w:pPr>
              <w:keepNext/>
              <w:keepLines/>
              <w:spacing w:after="0" w:line="240" w:lineRule="auto"/>
              <w:jc w:val="both"/>
              <w:rPr>
                <w:rFonts w:eastAsia="Times New Roman" w:cs="Times New Roman"/>
                <w:b/>
                <w:bCs/>
                <w:color w:val="FFFFFF"/>
                <w:sz w:val="20"/>
                <w:szCs w:val="20"/>
              </w:rPr>
            </w:pPr>
          </w:p>
        </w:tc>
        <w:tc>
          <w:tcPr>
            <w:tcW w:w="2000" w:type="dxa"/>
            <w:vMerge/>
            <w:tcBorders>
              <w:top w:val="nil"/>
              <w:left w:val="single" w:sz="8" w:space="0" w:color="auto"/>
              <w:bottom w:val="single" w:sz="8" w:space="0" w:color="000000"/>
              <w:right w:val="single" w:sz="8" w:space="0" w:color="auto"/>
            </w:tcBorders>
            <w:vAlign w:val="center"/>
            <w:hideMark/>
          </w:tcPr>
          <w:p w14:paraId="3AB2F729" w14:textId="77777777" w:rsidR="00426A6F" w:rsidRPr="00426A6F" w:rsidRDefault="00426A6F" w:rsidP="00426A6F">
            <w:pPr>
              <w:keepNext/>
              <w:keepLines/>
              <w:spacing w:after="0" w:line="240" w:lineRule="auto"/>
              <w:jc w:val="both"/>
              <w:rPr>
                <w:rFonts w:eastAsia="Times New Roman" w:cs="Times New Roman"/>
                <w:b/>
                <w:bCs/>
                <w:color w:val="FFFFFF"/>
                <w:sz w:val="20"/>
                <w:szCs w:val="20"/>
              </w:rPr>
            </w:pPr>
          </w:p>
        </w:tc>
        <w:tc>
          <w:tcPr>
            <w:tcW w:w="2316" w:type="dxa"/>
            <w:tcBorders>
              <w:top w:val="nil"/>
              <w:left w:val="nil"/>
              <w:bottom w:val="single" w:sz="8" w:space="0" w:color="auto"/>
              <w:right w:val="single" w:sz="8" w:space="0" w:color="auto"/>
            </w:tcBorders>
            <w:shd w:val="clear" w:color="000000" w:fill="215867"/>
            <w:noWrap/>
            <w:vAlign w:val="center"/>
            <w:hideMark/>
          </w:tcPr>
          <w:p w14:paraId="7EC0B755" w14:textId="77777777" w:rsidR="00426A6F" w:rsidRPr="00426A6F" w:rsidRDefault="00426A6F" w:rsidP="00426A6F">
            <w:pPr>
              <w:keepNext/>
              <w:keepLines/>
              <w:spacing w:after="0" w:line="240" w:lineRule="auto"/>
              <w:jc w:val="center"/>
              <w:rPr>
                <w:rFonts w:eastAsia="Times New Roman" w:cs="Times New Roman"/>
                <w:b/>
                <w:bCs/>
                <w:color w:val="FFFFFF"/>
                <w:sz w:val="20"/>
                <w:szCs w:val="20"/>
              </w:rPr>
            </w:pPr>
            <w:r w:rsidRPr="00426A6F">
              <w:rPr>
                <w:rFonts w:eastAsia="Times New Roman" w:cs="Times New Roman"/>
                <w:b/>
                <w:bCs/>
                <w:color w:val="FFFFFF"/>
                <w:sz w:val="20"/>
                <w:szCs w:val="20"/>
              </w:rPr>
              <w:t>wages/ pensions (NIS)</w:t>
            </w:r>
          </w:p>
        </w:tc>
      </w:tr>
      <w:tr w:rsidR="00426A6F" w:rsidRPr="00426A6F" w14:paraId="1CE39567" w14:textId="77777777" w:rsidTr="00DF20A2">
        <w:trPr>
          <w:trHeight w:val="288"/>
          <w:jc w:val="center"/>
        </w:trPr>
        <w:tc>
          <w:tcPr>
            <w:tcW w:w="3400" w:type="dxa"/>
            <w:tcBorders>
              <w:top w:val="nil"/>
              <w:left w:val="single" w:sz="8" w:space="0" w:color="auto"/>
              <w:bottom w:val="single" w:sz="8" w:space="0" w:color="auto"/>
              <w:right w:val="single" w:sz="8" w:space="0" w:color="auto"/>
            </w:tcBorders>
            <w:shd w:val="pct12" w:color="000000" w:fill="D9D9D9"/>
            <w:noWrap/>
            <w:vAlign w:val="center"/>
            <w:hideMark/>
          </w:tcPr>
          <w:p w14:paraId="1ABCF122" w14:textId="77777777" w:rsidR="00426A6F" w:rsidRPr="00426A6F" w:rsidRDefault="00426A6F" w:rsidP="00426A6F">
            <w:pPr>
              <w:keepNext/>
              <w:keepLines/>
              <w:spacing w:after="0" w:line="240" w:lineRule="auto"/>
              <w:jc w:val="center"/>
              <w:rPr>
                <w:rFonts w:eastAsia="Times New Roman" w:cs="Times New Roman"/>
                <w:b/>
                <w:bCs/>
                <w:color w:val="000000"/>
                <w:sz w:val="20"/>
                <w:szCs w:val="20"/>
              </w:rPr>
            </w:pPr>
            <w:r w:rsidRPr="00426A6F">
              <w:rPr>
                <w:rFonts w:eastAsia="Times New Roman" w:cs="Times New Roman"/>
                <w:b/>
                <w:bCs/>
                <w:color w:val="000000"/>
                <w:sz w:val="20"/>
                <w:szCs w:val="20"/>
              </w:rPr>
              <w:t>Active contributors</w:t>
            </w:r>
          </w:p>
        </w:tc>
        <w:tc>
          <w:tcPr>
            <w:tcW w:w="1500" w:type="dxa"/>
            <w:tcBorders>
              <w:top w:val="nil"/>
              <w:left w:val="nil"/>
              <w:bottom w:val="single" w:sz="8" w:space="0" w:color="auto"/>
              <w:right w:val="single" w:sz="8" w:space="0" w:color="auto"/>
            </w:tcBorders>
            <w:shd w:val="clear" w:color="000000" w:fill="D9D9D9"/>
            <w:vAlign w:val="center"/>
            <w:hideMark/>
          </w:tcPr>
          <w:p w14:paraId="5D7B7586" w14:textId="77777777" w:rsidR="00426A6F" w:rsidRPr="00426A6F" w:rsidRDefault="00426A6F" w:rsidP="00426A6F">
            <w:pPr>
              <w:keepNext/>
              <w:keepLines/>
              <w:spacing w:after="0" w:line="240" w:lineRule="auto"/>
              <w:jc w:val="center"/>
              <w:rPr>
                <w:rFonts w:eastAsia="Times New Roman" w:cs="Times New Roman"/>
                <w:b/>
                <w:bCs/>
                <w:color w:val="000000"/>
                <w:sz w:val="20"/>
                <w:szCs w:val="20"/>
              </w:rPr>
            </w:pPr>
            <w:r w:rsidRPr="00426A6F">
              <w:rPr>
                <w:rFonts w:eastAsia="Times New Roman" w:cs="Times New Roman"/>
                <w:b/>
                <w:bCs/>
                <w:color w:val="000000"/>
                <w:sz w:val="20"/>
                <w:szCs w:val="20"/>
              </w:rPr>
              <w:t>4,670</w:t>
            </w:r>
          </w:p>
        </w:tc>
        <w:tc>
          <w:tcPr>
            <w:tcW w:w="2000" w:type="dxa"/>
            <w:tcBorders>
              <w:top w:val="nil"/>
              <w:left w:val="nil"/>
              <w:bottom w:val="single" w:sz="8" w:space="0" w:color="auto"/>
              <w:right w:val="single" w:sz="8" w:space="0" w:color="auto"/>
            </w:tcBorders>
            <w:shd w:val="clear" w:color="000000" w:fill="D9D9D9"/>
            <w:vAlign w:val="center"/>
            <w:hideMark/>
          </w:tcPr>
          <w:p w14:paraId="64587D27" w14:textId="77777777" w:rsidR="00426A6F" w:rsidRPr="00426A6F" w:rsidRDefault="00426A6F" w:rsidP="00426A6F">
            <w:pPr>
              <w:keepNext/>
              <w:keepLines/>
              <w:spacing w:after="0" w:line="240" w:lineRule="auto"/>
              <w:jc w:val="center"/>
              <w:rPr>
                <w:rFonts w:eastAsia="Times New Roman" w:cs="Times New Roman"/>
                <w:b/>
                <w:bCs/>
                <w:color w:val="000000"/>
                <w:sz w:val="20"/>
                <w:szCs w:val="20"/>
              </w:rPr>
            </w:pPr>
            <w:r w:rsidRPr="00426A6F">
              <w:rPr>
                <w:rFonts w:eastAsia="Times New Roman" w:cs="Times New Roman"/>
                <w:b/>
                <w:bCs/>
                <w:color w:val="000000"/>
                <w:sz w:val="20"/>
                <w:szCs w:val="20"/>
              </w:rPr>
              <w:t>18,173,129.51</w:t>
            </w:r>
          </w:p>
        </w:tc>
        <w:tc>
          <w:tcPr>
            <w:tcW w:w="2316" w:type="dxa"/>
            <w:tcBorders>
              <w:top w:val="nil"/>
              <w:left w:val="nil"/>
              <w:bottom w:val="single" w:sz="8" w:space="0" w:color="auto"/>
              <w:right w:val="single" w:sz="8" w:space="0" w:color="auto"/>
            </w:tcBorders>
            <w:shd w:val="clear" w:color="000000" w:fill="D9D9D9"/>
            <w:vAlign w:val="center"/>
            <w:hideMark/>
          </w:tcPr>
          <w:p w14:paraId="31C63B74" w14:textId="77777777" w:rsidR="00426A6F" w:rsidRPr="00426A6F" w:rsidRDefault="00426A6F" w:rsidP="00426A6F">
            <w:pPr>
              <w:keepNext/>
              <w:keepLines/>
              <w:spacing w:after="0" w:line="240" w:lineRule="auto"/>
              <w:jc w:val="center"/>
              <w:rPr>
                <w:rFonts w:eastAsia="Times New Roman" w:cs="Times New Roman"/>
                <w:b/>
                <w:bCs/>
                <w:color w:val="000000"/>
                <w:sz w:val="20"/>
                <w:szCs w:val="20"/>
              </w:rPr>
            </w:pPr>
            <w:r w:rsidRPr="00426A6F">
              <w:rPr>
                <w:rFonts w:eastAsia="Times New Roman" w:cs="Times New Roman"/>
                <w:b/>
                <w:bCs/>
                <w:color w:val="000000"/>
                <w:sz w:val="20"/>
                <w:szCs w:val="20"/>
              </w:rPr>
              <w:t>3,891</w:t>
            </w:r>
          </w:p>
        </w:tc>
      </w:tr>
      <w:tr w:rsidR="00426A6F" w:rsidRPr="00426A6F" w14:paraId="4C406553" w14:textId="77777777" w:rsidTr="00DF20A2">
        <w:trPr>
          <w:trHeight w:val="288"/>
          <w:jc w:val="center"/>
        </w:trPr>
        <w:tc>
          <w:tcPr>
            <w:tcW w:w="3400" w:type="dxa"/>
            <w:tcBorders>
              <w:top w:val="nil"/>
              <w:left w:val="single" w:sz="8" w:space="0" w:color="auto"/>
              <w:bottom w:val="single" w:sz="8" w:space="0" w:color="auto"/>
              <w:right w:val="single" w:sz="8" w:space="0" w:color="auto"/>
            </w:tcBorders>
            <w:shd w:val="clear" w:color="000000" w:fill="FFFFFF"/>
            <w:noWrap/>
            <w:vAlign w:val="center"/>
            <w:hideMark/>
          </w:tcPr>
          <w:p w14:paraId="61E75619"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Old age and early retirement</w:t>
            </w:r>
          </w:p>
        </w:tc>
        <w:tc>
          <w:tcPr>
            <w:tcW w:w="15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2DEFA71"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10,141</w:t>
            </w:r>
          </w:p>
        </w:tc>
        <w:tc>
          <w:tcPr>
            <w:tcW w:w="2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F3A701B"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26,210,635.70</w:t>
            </w:r>
          </w:p>
        </w:tc>
        <w:tc>
          <w:tcPr>
            <w:tcW w:w="2316"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FEB9859"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2,585</w:t>
            </w:r>
          </w:p>
        </w:tc>
      </w:tr>
      <w:tr w:rsidR="00426A6F" w:rsidRPr="00426A6F" w14:paraId="7C3C8708" w14:textId="77777777" w:rsidTr="00DF20A2">
        <w:trPr>
          <w:trHeight w:val="288"/>
          <w:jc w:val="center"/>
        </w:trPr>
        <w:tc>
          <w:tcPr>
            <w:tcW w:w="3400" w:type="dxa"/>
            <w:tcBorders>
              <w:top w:val="nil"/>
              <w:left w:val="single" w:sz="8" w:space="0" w:color="auto"/>
              <w:bottom w:val="single" w:sz="8" w:space="0" w:color="auto"/>
              <w:right w:val="single" w:sz="8" w:space="0" w:color="auto"/>
            </w:tcBorders>
            <w:shd w:val="clear" w:color="000000" w:fill="FFFFFF"/>
            <w:noWrap/>
            <w:vAlign w:val="center"/>
            <w:hideMark/>
          </w:tcPr>
          <w:p w14:paraId="5D7BF692"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Disability</w:t>
            </w:r>
          </w:p>
        </w:tc>
        <w:tc>
          <w:tcPr>
            <w:tcW w:w="1500" w:type="dxa"/>
            <w:vMerge/>
            <w:tcBorders>
              <w:top w:val="nil"/>
              <w:left w:val="single" w:sz="8" w:space="0" w:color="auto"/>
              <w:bottom w:val="single" w:sz="8" w:space="0" w:color="000000"/>
              <w:right w:val="single" w:sz="8" w:space="0" w:color="auto"/>
            </w:tcBorders>
            <w:vAlign w:val="center"/>
            <w:hideMark/>
          </w:tcPr>
          <w:p w14:paraId="77AF1B93" w14:textId="77777777" w:rsidR="00426A6F" w:rsidRPr="00426A6F" w:rsidRDefault="00426A6F" w:rsidP="00426A6F">
            <w:pPr>
              <w:keepNext/>
              <w:keepLines/>
              <w:spacing w:after="0" w:line="240" w:lineRule="auto"/>
              <w:jc w:val="both"/>
              <w:rPr>
                <w:rFonts w:eastAsia="Times New Roman" w:cs="Times New Roman"/>
                <w:color w:val="000000"/>
                <w:sz w:val="20"/>
                <w:szCs w:val="20"/>
              </w:rPr>
            </w:pPr>
          </w:p>
        </w:tc>
        <w:tc>
          <w:tcPr>
            <w:tcW w:w="2000" w:type="dxa"/>
            <w:vMerge/>
            <w:tcBorders>
              <w:top w:val="nil"/>
              <w:left w:val="single" w:sz="8" w:space="0" w:color="auto"/>
              <w:bottom w:val="single" w:sz="8" w:space="0" w:color="000000"/>
              <w:right w:val="single" w:sz="8" w:space="0" w:color="auto"/>
            </w:tcBorders>
            <w:vAlign w:val="center"/>
            <w:hideMark/>
          </w:tcPr>
          <w:p w14:paraId="13C1BCC2" w14:textId="77777777" w:rsidR="00426A6F" w:rsidRPr="00426A6F" w:rsidRDefault="00426A6F" w:rsidP="00426A6F">
            <w:pPr>
              <w:keepNext/>
              <w:keepLines/>
              <w:spacing w:after="0" w:line="240" w:lineRule="auto"/>
              <w:jc w:val="both"/>
              <w:rPr>
                <w:rFonts w:eastAsia="Times New Roman" w:cs="Times New Roman"/>
                <w:color w:val="000000"/>
                <w:sz w:val="20"/>
                <w:szCs w:val="20"/>
              </w:rPr>
            </w:pPr>
          </w:p>
        </w:tc>
        <w:tc>
          <w:tcPr>
            <w:tcW w:w="2316" w:type="dxa"/>
            <w:vMerge/>
            <w:tcBorders>
              <w:top w:val="nil"/>
              <w:left w:val="single" w:sz="8" w:space="0" w:color="auto"/>
              <w:bottom w:val="single" w:sz="8" w:space="0" w:color="000000"/>
              <w:right w:val="single" w:sz="8" w:space="0" w:color="auto"/>
            </w:tcBorders>
            <w:vAlign w:val="center"/>
            <w:hideMark/>
          </w:tcPr>
          <w:p w14:paraId="0A7316C0" w14:textId="77777777" w:rsidR="00426A6F" w:rsidRPr="00426A6F" w:rsidRDefault="00426A6F" w:rsidP="00426A6F">
            <w:pPr>
              <w:keepNext/>
              <w:keepLines/>
              <w:spacing w:after="0" w:line="240" w:lineRule="auto"/>
              <w:jc w:val="both"/>
              <w:rPr>
                <w:rFonts w:eastAsia="Times New Roman" w:cs="Times New Roman"/>
                <w:color w:val="000000"/>
                <w:sz w:val="20"/>
                <w:szCs w:val="20"/>
              </w:rPr>
            </w:pPr>
          </w:p>
        </w:tc>
      </w:tr>
      <w:tr w:rsidR="00426A6F" w:rsidRPr="00426A6F" w14:paraId="3BE6632A" w14:textId="77777777" w:rsidTr="00DF20A2">
        <w:trPr>
          <w:trHeight w:val="288"/>
          <w:jc w:val="center"/>
        </w:trPr>
        <w:tc>
          <w:tcPr>
            <w:tcW w:w="3400" w:type="dxa"/>
            <w:tcBorders>
              <w:top w:val="nil"/>
              <w:left w:val="single" w:sz="8" w:space="0" w:color="auto"/>
              <w:bottom w:val="single" w:sz="8" w:space="0" w:color="auto"/>
              <w:right w:val="single" w:sz="8" w:space="0" w:color="auto"/>
            </w:tcBorders>
            <w:shd w:val="clear" w:color="000000" w:fill="FFFFFF"/>
            <w:noWrap/>
            <w:vAlign w:val="center"/>
            <w:hideMark/>
          </w:tcPr>
          <w:p w14:paraId="39154275"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 xml:space="preserve"> Survivors</w:t>
            </w:r>
          </w:p>
        </w:tc>
        <w:tc>
          <w:tcPr>
            <w:tcW w:w="1500" w:type="dxa"/>
            <w:tcBorders>
              <w:top w:val="nil"/>
              <w:left w:val="nil"/>
              <w:bottom w:val="single" w:sz="8" w:space="0" w:color="auto"/>
              <w:right w:val="single" w:sz="8" w:space="0" w:color="auto"/>
            </w:tcBorders>
            <w:shd w:val="clear" w:color="000000" w:fill="FFFFFF"/>
            <w:vAlign w:val="center"/>
            <w:hideMark/>
          </w:tcPr>
          <w:p w14:paraId="7FA3426A"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4,863</w:t>
            </w:r>
          </w:p>
        </w:tc>
        <w:tc>
          <w:tcPr>
            <w:tcW w:w="2000" w:type="dxa"/>
            <w:tcBorders>
              <w:top w:val="nil"/>
              <w:left w:val="nil"/>
              <w:bottom w:val="single" w:sz="8" w:space="0" w:color="auto"/>
              <w:right w:val="single" w:sz="8" w:space="0" w:color="auto"/>
            </w:tcBorders>
            <w:shd w:val="clear" w:color="000000" w:fill="FFFFFF"/>
            <w:vAlign w:val="center"/>
            <w:hideMark/>
          </w:tcPr>
          <w:p w14:paraId="3537DA63"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4,635,093.40</w:t>
            </w:r>
          </w:p>
        </w:tc>
        <w:tc>
          <w:tcPr>
            <w:tcW w:w="2316" w:type="dxa"/>
            <w:tcBorders>
              <w:top w:val="nil"/>
              <w:left w:val="nil"/>
              <w:bottom w:val="single" w:sz="8" w:space="0" w:color="auto"/>
              <w:right w:val="single" w:sz="8" w:space="0" w:color="auto"/>
            </w:tcBorders>
            <w:shd w:val="clear" w:color="000000" w:fill="FFFFFF"/>
            <w:vAlign w:val="center"/>
            <w:hideMark/>
          </w:tcPr>
          <w:p w14:paraId="3AC1E7CC" w14:textId="77777777" w:rsidR="00426A6F" w:rsidRPr="00426A6F" w:rsidRDefault="00426A6F" w:rsidP="00426A6F">
            <w:pPr>
              <w:keepNext/>
              <w:keepLines/>
              <w:spacing w:after="0" w:line="240" w:lineRule="auto"/>
              <w:jc w:val="center"/>
              <w:rPr>
                <w:rFonts w:eastAsia="Times New Roman" w:cs="Times New Roman"/>
                <w:color w:val="000000"/>
                <w:sz w:val="20"/>
                <w:szCs w:val="20"/>
              </w:rPr>
            </w:pPr>
            <w:r w:rsidRPr="00426A6F">
              <w:rPr>
                <w:rFonts w:eastAsia="Times New Roman" w:cs="Times New Roman"/>
                <w:color w:val="000000"/>
                <w:sz w:val="20"/>
                <w:szCs w:val="20"/>
              </w:rPr>
              <w:t>953</w:t>
            </w:r>
          </w:p>
        </w:tc>
      </w:tr>
      <w:tr w:rsidR="00426A6F" w:rsidRPr="00426A6F" w14:paraId="5EBB81B8" w14:textId="77777777" w:rsidTr="00DF20A2">
        <w:trPr>
          <w:trHeight w:val="288"/>
          <w:jc w:val="center"/>
        </w:trPr>
        <w:tc>
          <w:tcPr>
            <w:tcW w:w="3400" w:type="dxa"/>
            <w:tcBorders>
              <w:top w:val="nil"/>
              <w:left w:val="single" w:sz="8" w:space="0" w:color="auto"/>
              <w:bottom w:val="single" w:sz="8" w:space="0" w:color="auto"/>
              <w:right w:val="single" w:sz="8" w:space="0" w:color="auto"/>
            </w:tcBorders>
            <w:shd w:val="clear" w:color="000000" w:fill="D8D8D8"/>
            <w:noWrap/>
            <w:vAlign w:val="center"/>
            <w:hideMark/>
          </w:tcPr>
          <w:p w14:paraId="107704DF" w14:textId="77777777" w:rsidR="00426A6F" w:rsidRPr="00426A6F" w:rsidRDefault="00426A6F" w:rsidP="00426A6F">
            <w:pPr>
              <w:keepNext/>
              <w:keepLines/>
              <w:spacing w:after="0" w:line="240" w:lineRule="auto"/>
              <w:jc w:val="center"/>
              <w:rPr>
                <w:rFonts w:eastAsia="Times New Roman" w:cs="Times New Roman"/>
                <w:b/>
                <w:bCs/>
                <w:color w:val="000000"/>
                <w:sz w:val="20"/>
                <w:szCs w:val="20"/>
              </w:rPr>
            </w:pPr>
            <w:r w:rsidRPr="00426A6F">
              <w:rPr>
                <w:rFonts w:eastAsia="Times New Roman" w:cs="Times New Roman"/>
                <w:b/>
                <w:bCs/>
                <w:color w:val="000000"/>
                <w:sz w:val="20"/>
                <w:szCs w:val="20"/>
              </w:rPr>
              <w:t>Total beneficiaries</w:t>
            </w:r>
          </w:p>
        </w:tc>
        <w:tc>
          <w:tcPr>
            <w:tcW w:w="1500" w:type="dxa"/>
            <w:tcBorders>
              <w:top w:val="nil"/>
              <w:left w:val="nil"/>
              <w:bottom w:val="single" w:sz="8" w:space="0" w:color="auto"/>
              <w:right w:val="single" w:sz="8" w:space="0" w:color="auto"/>
            </w:tcBorders>
            <w:shd w:val="clear" w:color="000000" w:fill="D8D8D8"/>
            <w:vAlign w:val="center"/>
            <w:hideMark/>
          </w:tcPr>
          <w:p w14:paraId="4102A4D8" w14:textId="77777777" w:rsidR="00426A6F" w:rsidRPr="00426A6F" w:rsidRDefault="00426A6F" w:rsidP="00426A6F">
            <w:pPr>
              <w:keepNext/>
              <w:keepLines/>
              <w:spacing w:after="0" w:line="240" w:lineRule="auto"/>
              <w:jc w:val="center"/>
              <w:rPr>
                <w:rFonts w:eastAsia="Times New Roman" w:cs="Times New Roman"/>
                <w:b/>
                <w:bCs/>
                <w:color w:val="000000"/>
                <w:sz w:val="20"/>
                <w:szCs w:val="20"/>
              </w:rPr>
            </w:pPr>
            <w:r w:rsidRPr="00426A6F">
              <w:rPr>
                <w:rFonts w:eastAsia="Times New Roman" w:cs="Times New Roman"/>
                <w:b/>
                <w:bCs/>
                <w:color w:val="000000"/>
                <w:sz w:val="20"/>
                <w:szCs w:val="20"/>
              </w:rPr>
              <w:t>15,004</w:t>
            </w:r>
          </w:p>
        </w:tc>
        <w:tc>
          <w:tcPr>
            <w:tcW w:w="2000" w:type="dxa"/>
            <w:tcBorders>
              <w:top w:val="nil"/>
              <w:left w:val="nil"/>
              <w:bottom w:val="single" w:sz="8" w:space="0" w:color="auto"/>
              <w:right w:val="single" w:sz="8" w:space="0" w:color="auto"/>
            </w:tcBorders>
            <w:shd w:val="clear" w:color="000000" w:fill="D8D8D8"/>
            <w:vAlign w:val="center"/>
            <w:hideMark/>
          </w:tcPr>
          <w:p w14:paraId="1D7AD766" w14:textId="77777777" w:rsidR="00426A6F" w:rsidRPr="00426A6F" w:rsidRDefault="00426A6F" w:rsidP="00426A6F">
            <w:pPr>
              <w:keepNext/>
              <w:keepLines/>
              <w:spacing w:after="0" w:line="240" w:lineRule="auto"/>
              <w:jc w:val="center"/>
              <w:rPr>
                <w:rFonts w:eastAsia="Times New Roman" w:cs="Times New Roman"/>
                <w:b/>
                <w:bCs/>
                <w:color w:val="000000"/>
                <w:sz w:val="20"/>
                <w:szCs w:val="20"/>
              </w:rPr>
            </w:pPr>
            <w:r w:rsidRPr="00426A6F">
              <w:rPr>
                <w:rFonts w:eastAsia="Times New Roman" w:cs="Times New Roman"/>
                <w:b/>
                <w:bCs/>
                <w:color w:val="000000"/>
                <w:sz w:val="20"/>
                <w:szCs w:val="20"/>
              </w:rPr>
              <w:t>30,845,729</w:t>
            </w:r>
          </w:p>
        </w:tc>
        <w:tc>
          <w:tcPr>
            <w:tcW w:w="2316" w:type="dxa"/>
            <w:tcBorders>
              <w:top w:val="nil"/>
              <w:left w:val="nil"/>
              <w:bottom w:val="single" w:sz="8" w:space="0" w:color="auto"/>
              <w:right w:val="single" w:sz="8" w:space="0" w:color="auto"/>
            </w:tcBorders>
            <w:shd w:val="clear" w:color="000000" w:fill="D8D8D8"/>
            <w:vAlign w:val="center"/>
            <w:hideMark/>
          </w:tcPr>
          <w:p w14:paraId="0CA6313C" w14:textId="77777777" w:rsidR="00426A6F" w:rsidRPr="00426A6F" w:rsidRDefault="00426A6F" w:rsidP="00426A6F">
            <w:pPr>
              <w:keepNext/>
              <w:keepLines/>
              <w:spacing w:after="0" w:line="240" w:lineRule="auto"/>
              <w:jc w:val="center"/>
              <w:rPr>
                <w:rFonts w:eastAsia="Times New Roman" w:cs="Times New Roman"/>
                <w:b/>
                <w:bCs/>
                <w:color w:val="000000"/>
                <w:sz w:val="20"/>
                <w:szCs w:val="20"/>
              </w:rPr>
            </w:pPr>
            <w:r w:rsidRPr="00426A6F">
              <w:rPr>
                <w:rFonts w:eastAsia="Times New Roman" w:cs="Times New Roman"/>
                <w:b/>
                <w:bCs/>
                <w:color w:val="000000"/>
                <w:sz w:val="20"/>
                <w:szCs w:val="20"/>
              </w:rPr>
              <w:t>2,056</w:t>
            </w:r>
          </w:p>
        </w:tc>
      </w:tr>
    </w:tbl>
    <w:p w14:paraId="5A6C4F27" w14:textId="77777777" w:rsidR="00426A6F" w:rsidRPr="00426A6F" w:rsidRDefault="00426A6F" w:rsidP="00426A6F">
      <w:pPr>
        <w:keepNext/>
        <w:keepLines/>
        <w:spacing w:after="0" w:line="240" w:lineRule="auto"/>
        <w:jc w:val="both"/>
        <w:rPr>
          <w:rFonts w:ascii="Calibri" w:eastAsia="Calibri" w:hAnsi="Calibri" w:cs="Times New Roman"/>
          <w:sz w:val="20"/>
          <w:szCs w:val="20"/>
        </w:rPr>
      </w:pPr>
      <w:r w:rsidRPr="00426A6F">
        <w:rPr>
          <w:rFonts w:ascii="Calibri" w:eastAsia="Calibri" w:hAnsi="Calibri" w:cs="Times New Roman"/>
          <w:i/>
          <w:sz w:val="20"/>
          <w:szCs w:val="20"/>
        </w:rPr>
        <w:t>Source</w:t>
      </w:r>
      <w:r w:rsidRPr="00426A6F">
        <w:rPr>
          <w:rFonts w:ascii="Calibri" w:eastAsia="Calibri" w:hAnsi="Calibri" w:cs="Times New Roman"/>
          <w:sz w:val="20"/>
          <w:szCs w:val="20"/>
        </w:rPr>
        <w:t>: PPA.</w:t>
      </w:r>
    </w:p>
    <w:p w14:paraId="082566CF" w14:textId="77777777" w:rsidR="00426A6F" w:rsidRPr="00426A6F" w:rsidRDefault="00426A6F" w:rsidP="00426A6F">
      <w:pPr>
        <w:spacing w:after="0" w:line="240" w:lineRule="auto"/>
        <w:jc w:val="both"/>
        <w:rPr>
          <w:rFonts w:ascii="Times New Roman" w:eastAsia="Times New Roman" w:hAnsi="Times New Roman" w:cs="Times New Roman"/>
        </w:rPr>
      </w:pPr>
    </w:p>
    <w:p w14:paraId="1DE5CC4C" w14:textId="77777777" w:rsidR="00426A6F" w:rsidRPr="00426A6F" w:rsidRDefault="00426A6F" w:rsidP="00426A6F">
      <w:pPr>
        <w:keepNext/>
        <w:keepLines/>
        <w:spacing w:after="0" w:line="240" w:lineRule="auto"/>
        <w:jc w:val="center"/>
        <w:rPr>
          <w:iCs/>
        </w:rPr>
      </w:pPr>
      <w:bookmarkStart w:id="11" w:name="_Ref422155946"/>
      <w:bookmarkStart w:id="12" w:name="_Toc422385112"/>
      <w:r w:rsidRPr="00426A6F">
        <w:rPr>
          <w:b/>
          <w:iCs/>
        </w:rPr>
        <w:lastRenderedPageBreak/>
        <w:t xml:space="preserve">Table </w:t>
      </w:r>
      <w:r w:rsidRPr="00426A6F">
        <w:rPr>
          <w:b/>
          <w:iCs/>
        </w:rPr>
        <w:fldChar w:fldCharType="begin"/>
      </w:r>
      <w:r w:rsidRPr="00426A6F">
        <w:rPr>
          <w:b/>
          <w:iCs/>
        </w:rPr>
        <w:instrText xml:space="preserve"> SEQ Table \* ARABIC </w:instrText>
      </w:r>
      <w:r w:rsidRPr="00426A6F">
        <w:rPr>
          <w:b/>
          <w:iCs/>
        </w:rPr>
        <w:fldChar w:fldCharType="separate"/>
      </w:r>
      <w:r w:rsidRPr="00426A6F">
        <w:rPr>
          <w:b/>
          <w:iCs/>
          <w:noProof/>
        </w:rPr>
        <w:t>20</w:t>
      </w:r>
      <w:r w:rsidRPr="00426A6F">
        <w:rPr>
          <w:b/>
          <w:iCs/>
          <w:noProof/>
        </w:rPr>
        <w:fldChar w:fldCharType="end"/>
      </w:r>
      <w:bookmarkEnd w:id="11"/>
      <w:r w:rsidRPr="00426A6F">
        <w:rPr>
          <w:b/>
          <w:iCs/>
        </w:rPr>
        <w:t>: Contributors, beneficiaries, wages, and pensions, September 2014</w:t>
      </w:r>
      <w:r w:rsidRPr="00426A6F">
        <w:rPr>
          <w:b/>
          <w:iCs/>
          <w:vertAlign w:val="superscript"/>
        </w:rPr>
        <w:footnoteReference w:id="10"/>
      </w:r>
      <w:bookmarkEnd w:id="12"/>
    </w:p>
    <w:p w14:paraId="13DB42D3" w14:textId="77777777" w:rsidR="00426A6F" w:rsidRPr="00426A6F" w:rsidRDefault="00426A6F" w:rsidP="00426A6F">
      <w:pPr>
        <w:keepNext/>
        <w:keepLines/>
        <w:spacing w:after="0" w:line="240" w:lineRule="auto"/>
        <w:ind w:left="720"/>
        <w:jc w:val="both"/>
        <w:rPr>
          <w:rFonts w:ascii="Times New Roman" w:eastAsia="Times New Roman" w:hAnsi="Times New Roman" w:cs="Times New Roman"/>
        </w:rPr>
      </w:pPr>
      <w:r w:rsidRPr="00426A6F">
        <w:rPr>
          <w:rFonts w:eastAsia="Times New Roman" w:cs="Times New Roman"/>
          <w:noProof/>
        </w:rPr>
        <w:drawing>
          <wp:inline distT="0" distB="0" distL="0" distR="0" wp14:anchorId="7B9F480A" wp14:editId="289B910F">
            <wp:extent cx="5510530" cy="53409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10530" cy="5340985"/>
                    </a:xfrm>
                    <a:prstGeom prst="rect">
                      <a:avLst/>
                    </a:prstGeom>
                    <a:noFill/>
                    <a:ln>
                      <a:noFill/>
                    </a:ln>
                  </pic:spPr>
                </pic:pic>
              </a:graphicData>
            </a:graphic>
          </wp:inline>
        </w:drawing>
      </w:r>
    </w:p>
    <w:p w14:paraId="5D9F4981" w14:textId="77777777" w:rsidR="00426A6F" w:rsidRPr="00426A6F" w:rsidRDefault="00426A6F" w:rsidP="00426A6F">
      <w:pPr>
        <w:keepNext/>
        <w:keepLines/>
        <w:spacing w:after="0" w:line="240" w:lineRule="auto"/>
        <w:jc w:val="both"/>
        <w:rPr>
          <w:rFonts w:ascii="Calibri" w:eastAsia="Calibri" w:hAnsi="Calibri" w:cs="Times New Roman"/>
          <w:sz w:val="20"/>
          <w:szCs w:val="20"/>
        </w:rPr>
      </w:pPr>
      <w:r w:rsidRPr="00426A6F">
        <w:rPr>
          <w:rFonts w:ascii="Calibri" w:eastAsia="Calibri" w:hAnsi="Calibri" w:cs="Times New Roman"/>
          <w:i/>
          <w:sz w:val="20"/>
          <w:szCs w:val="20"/>
        </w:rPr>
        <w:t>Source</w:t>
      </w:r>
      <w:r w:rsidRPr="00426A6F">
        <w:rPr>
          <w:rFonts w:ascii="Calibri" w:eastAsia="Calibri" w:hAnsi="Calibri" w:cs="Times New Roman"/>
          <w:sz w:val="20"/>
          <w:szCs w:val="20"/>
        </w:rPr>
        <w:t>: PPA.</w:t>
      </w:r>
    </w:p>
    <w:p w14:paraId="42D3C430" w14:textId="77777777" w:rsidR="00426A6F" w:rsidRPr="00426A6F" w:rsidRDefault="00426A6F" w:rsidP="00426A6F">
      <w:pPr>
        <w:spacing w:before="240"/>
        <w:jc w:val="both"/>
        <w:rPr>
          <w:rFonts w:ascii="Times New Roman" w:eastAsia="Times New Roman" w:hAnsi="Times New Roman" w:cs="Times New Roman"/>
        </w:rPr>
      </w:pPr>
      <w:r w:rsidRPr="00426A6F">
        <w:rPr>
          <w:b/>
        </w:rPr>
        <w:t xml:space="preserve">Beneficiaries are entitled to various types of lump-sum payments that pose a fiscal burden on the system. </w:t>
      </w:r>
      <w:r w:rsidRPr="00426A6F">
        <w:t>Around 45 percent of these lump-sum payments are returns of previous contributions, while the remainder 55 percent are insurance payments. Participants are entitled, in the event of death or incapacity due to a permanent physical disability resulting from an occupational accident, to receive an insurance amount equivalent to a certain percentage of the annual salary according to their age. These insurance lump-sum payments are paid in addition to regular benefits. Over the past few years, lump-sum payments represented over 6 percent of total annual pension payments.</w:t>
      </w:r>
      <w:r w:rsidRPr="00426A6F">
        <w:rPr>
          <w:vertAlign w:val="superscript"/>
        </w:rPr>
        <w:footnoteReference w:id="11"/>
      </w:r>
      <w:r w:rsidRPr="00426A6F">
        <w:t xml:space="preserve"> </w:t>
      </w:r>
      <w:r w:rsidRPr="00426A6F">
        <w:fldChar w:fldCharType="begin"/>
      </w:r>
      <w:r w:rsidRPr="00426A6F">
        <w:instrText xml:space="preserve"> REF _Ref422156331 \h </w:instrText>
      </w:r>
      <w:r w:rsidRPr="00426A6F">
        <w:fldChar w:fldCharType="separate"/>
      </w:r>
      <w:r w:rsidRPr="00426A6F">
        <w:t xml:space="preserve">Table </w:t>
      </w:r>
      <w:r w:rsidRPr="00426A6F">
        <w:rPr>
          <w:noProof/>
        </w:rPr>
        <w:t>21</w:t>
      </w:r>
      <w:r w:rsidRPr="00426A6F">
        <w:fldChar w:fldCharType="end"/>
      </w:r>
      <w:r w:rsidRPr="00426A6F">
        <w:t xml:space="preserve"> presents a breakdown of total benefits paid by all schemes in 2013, including pensions and lump-sum payments. </w:t>
      </w:r>
    </w:p>
    <w:p w14:paraId="511A359C" w14:textId="77777777" w:rsidR="00426A6F" w:rsidRPr="00426A6F" w:rsidRDefault="00426A6F" w:rsidP="00426A6F">
      <w:pPr>
        <w:keepNext/>
        <w:spacing w:after="0" w:line="240" w:lineRule="auto"/>
        <w:jc w:val="center"/>
        <w:rPr>
          <w:b/>
          <w:iCs/>
        </w:rPr>
      </w:pPr>
      <w:bookmarkStart w:id="13" w:name="_Ref422156331"/>
      <w:bookmarkStart w:id="14" w:name="_Toc422385113"/>
      <w:r w:rsidRPr="00426A6F">
        <w:rPr>
          <w:b/>
          <w:iCs/>
        </w:rPr>
        <w:lastRenderedPageBreak/>
        <w:t xml:space="preserve">Table </w:t>
      </w:r>
      <w:r w:rsidRPr="00426A6F">
        <w:rPr>
          <w:b/>
          <w:iCs/>
        </w:rPr>
        <w:fldChar w:fldCharType="begin"/>
      </w:r>
      <w:r w:rsidRPr="00426A6F">
        <w:rPr>
          <w:b/>
          <w:iCs/>
        </w:rPr>
        <w:instrText xml:space="preserve"> SEQ Table \* ARABIC </w:instrText>
      </w:r>
      <w:r w:rsidRPr="00426A6F">
        <w:rPr>
          <w:b/>
          <w:iCs/>
        </w:rPr>
        <w:fldChar w:fldCharType="separate"/>
      </w:r>
      <w:r w:rsidRPr="00426A6F">
        <w:rPr>
          <w:b/>
          <w:iCs/>
          <w:noProof/>
        </w:rPr>
        <w:t>21</w:t>
      </w:r>
      <w:r w:rsidRPr="00426A6F">
        <w:rPr>
          <w:b/>
          <w:iCs/>
          <w:noProof/>
        </w:rPr>
        <w:fldChar w:fldCharType="end"/>
      </w:r>
      <w:bookmarkEnd w:id="13"/>
      <w:r w:rsidRPr="00426A6F">
        <w:rPr>
          <w:b/>
          <w:iCs/>
        </w:rPr>
        <w:t>: Annual benefit amounts by scheme (NIS), 2013</w:t>
      </w:r>
      <w:bookmarkEnd w:id="14"/>
    </w:p>
    <w:p w14:paraId="75878925" w14:textId="77777777" w:rsidR="00426A6F" w:rsidRPr="00426A6F" w:rsidRDefault="00426A6F" w:rsidP="00426A6F">
      <w:pPr>
        <w:spacing w:after="0" w:line="240" w:lineRule="auto"/>
        <w:ind w:left="720"/>
        <w:jc w:val="center"/>
        <w:rPr>
          <w:rFonts w:ascii="Times New Roman" w:eastAsia="Times New Roman" w:hAnsi="Times New Roman" w:cs="Times New Roman"/>
        </w:rPr>
      </w:pPr>
      <w:r w:rsidRPr="00426A6F">
        <w:rPr>
          <w:rFonts w:eastAsia="Times New Roman" w:cs="Times New Roman"/>
          <w:noProof/>
        </w:rPr>
        <w:drawing>
          <wp:inline distT="0" distB="0" distL="0" distR="0" wp14:anchorId="7318B5CD" wp14:editId="16037302">
            <wp:extent cx="4275455" cy="13258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75455" cy="1325880"/>
                    </a:xfrm>
                    <a:prstGeom prst="rect">
                      <a:avLst/>
                    </a:prstGeom>
                    <a:noFill/>
                    <a:ln>
                      <a:noFill/>
                    </a:ln>
                  </pic:spPr>
                </pic:pic>
              </a:graphicData>
            </a:graphic>
          </wp:inline>
        </w:drawing>
      </w:r>
    </w:p>
    <w:p w14:paraId="6BA54AB9" w14:textId="77777777" w:rsidR="00426A6F" w:rsidRPr="00426A6F" w:rsidRDefault="00426A6F" w:rsidP="00426A6F">
      <w:pPr>
        <w:keepNext/>
        <w:keepLines/>
        <w:spacing w:after="0" w:line="240" w:lineRule="auto"/>
        <w:jc w:val="both"/>
        <w:rPr>
          <w:rFonts w:ascii="Calibri" w:eastAsia="Calibri" w:hAnsi="Calibri" w:cs="Times New Roman"/>
          <w:b/>
          <w:color w:val="000000"/>
          <w:sz w:val="20"/>
          <w:szCs w:val="20"/>
        </w:rPr>
      </w:pPr>
      <w:r w:rsidRPr="00426A6F">
        <w:rPr>
          <w:rFonts w:ascii="Calibri" w:eastAsia="Calibri" w:hAnsi="Calibri" w:cs="Times New Roman"/>
          <w:i/>
          <w:sz w:val="20"/>
          <w:szCs w:val="20"/>
        </w:rPr>
        <w:t>Source</w:t>
      </w:r>
      <w:r w:rsidRPr="00426A6F">
        <w:rPr>
          <w:rFonts w:ascii="Calibri" w:eastAsia="Calibri" w:hAnsi="Calibri" w:cs="Times New Roman"/>
          <w:sz w:val="20"/>
          <w:szCs w:val="20"/>
        </w:rPr>
        <w:t>: PPA</w:t>
      </w:r>
      <w:r w:rsidRPr="00426A6F">
        <w:rPr>
          <w:rFonts w:ascii="Calibri" w:eastAsia="Calibri" w:hAnsi="Calibri" w:cs="Times New Roman"/>
          <w:b/>
          <w:color w:val="000000"/>
          <w:sz w:val="20"/>
          <w:szCs w:val="20"/>
        </w:rPr>
        <w:t>.</w:t>
      </w:r>
    </w:p>
    <w:p w14:paraId="3F3085D5" w14:textId="77777777" w:rsidR="00426A6F" w:rsidRPr="00426A6F" w:rsidRDefault="00426A6F" w:rsidP="00426A6F">
      <w:pPr>
        <w:spacing w:after="0" w:line="240" w:lineRule="auto"/>
        <w:jc w:val="both"/>
        <w:rPr>
          <w:rFonts w:ascii="Times New Roman" w:eastAsia="Times New Roman" w:hAnsi="Times New Roman" w:cs="Times New Roman"/>
        </w:rPr>
      </w:pPr>
    </w:p>
    <w:p w14:paraId="438B0223" w14:textId="77777777" w:rsidR="00426A6F" w:rsidRPr="00426A6F" w:rsidRDefault="00426A6F" w:rsidP="00426A6F">
      <w:pPr>
        <w:jc w:val="both"/>
        <w:rPr>
          <w:rFonts w:ascii="Times New Roman" w:eastAsia="Times New Roman" w:hAnsi="Times New Roman" w:cs="Times New Roman"/>
          <w:b/>
        </w:rPr>
      </w:pPr>
      <w:r w:rsidRPr="00426A6F">
        <w:rPr>
          <w:b/>
        </w:rPr>
        <w:t xml:space="preserve">The PA has been making sporadic contributions to the pension system and accruing considerable arrears. </w:t>
      </w:r>
      <w:r w:rsidRPr="00426A6F">
        <w:t>Contributions transferred by the PA to the Palestinian Pension Authority (PPA)</w:t>
      </w:r>
      <w:r w:rsidRPr="00426A6F">
        <w:rPr>
          <w:vertAlign w:val="superscript"/>
        </w:rPr>
        <w:footnoteReference w:id="12"/>
      </w:r>
      <w:r w:rsidRPr="00426A6F">
        <w:t xml:space="preserve"> are well below the amounts stipulated by the UPL. Since May 2011, the PA has transferred to the PPA NIS 70 million per month to make pension payments, even though </w:t>
      </w:r>
      <w:r w:rsidRPr="00205F16">
        <w:rPr>
          <w:highlight w:val="yellow"/>
        </w:rPr>
        <w:t>its monthly commitment by law is about NIS 96 million.</w:t>
      </w:r>
      <w:r w:rsidRPr="00426A6F">
        <w:t xml:space="preserve"> Since January 2015, the MoF has started to also transfer an additional NIS 10 million per month in contributions. Even though this is commendable, it has not been enough to cover the monthly commitments and the MoF therefore continues to accrue significant monthly arrears to the pension system. In total, arrears accumulated to civil servant schemes over the years are estimated at US$</w:t>
      </w:r>
      <w:r w:rsidRPr="00426A6F">
        <w:rPr>
          <w:color w:val="000000"/>
        </w:rPr>
        <w:t>1.595 billion. No information is yet available on arrears accumulated to the security services schemes.</w:t>
      </w:r>
      <w:r w:rsidRPr="00426A6F">
        <w:rPr>
          <w:color w:val="000000"/>
          <w:vertAlign w:val="superscript"/>
        </w:rPr>
        <w:footnoteReference w:id="13"/>
      </w:r>
      <w:r w:rsidRPr="00426A6F">
        <w:rPr>
          <w:color w:val="000000"/>
        </w:rPr>
        <w:t xml:space="preserve"> </w:t>
      </w:r>
    </w:p>
    <w:p w14:paraId="46DDD6AD" w14:textId="77777777" w:rsidR="00426A6F" w:rsidRPr="00426A6F" w:rsidRDefault="00426A6F" w:rsidP="00426A6F">
      <w:pPr>
        <w:jc w:val="both"/>
        <w:rPr>
          <w:rFonts w:ascii="Times New Roman" w:eastAsia="Times New Roman" w:hAnsi="Times New Roman" w:cs="Times New Roman"/>
          <w:b/>
        </w:rPr>
      </w:pPr>
      <w:r w:rsidRPr="00426A6F">
        <w:rPr>
          <w:b/>
        </w:rPr>
        <w:t>Pension benefits have nevertheless been paid consistently so far from funds earmarked for Scheme II and from the accumulated reserve</w:t>
      </w:r>
      <w:r w:rsidRPr="00426A6F">
        <w:t>. Since Scheme II is still considered young, it is currently accumulating reserves. In the absence of consistent contributions for the older schemes (I, III, and IV), transition costs have been paid through an opaque mechanism of transfers from funds earmarked for Scheme II. This is a serious concern because the PPA has not been able to credit contributions in the individual pension accounts of the beneficiaries of this scheme, as required by the UPL. Also, funds needed to meet the future obligations of these beneficiaries are being depleted. The PPA has also relied on the reserve accumulated in years prior to 2011 to pay the monthly pension obligations. This reserve, however, has been declining gradually</w:t>
      </w:r>
      <w:r w:rsidRPr="00426A6F">
        <w:rPr>
          <w:vertAlign w:val="superscript"/>
        </w:rPr>
        <w:t xml:space="preserve"> </w:t>
      </w:r>
      <w:r w:rsidRPr="00426A6F">
        <w:t>and latest available data show that it amounted to about US$199 million on March 31, 2015.</w:t>
      </w:r>
    </w:p>
    <w:p w14:paraId="47817C25" w14:textId="77777777" w:rsidR="00426A6F" w:rsidRPr="00426A6F" w:rsidRDefault="00426A6F" w:rsidP="00426A6F">
      <w:pPr>
        <w:keepNext/>
        <w:spacing w:after="0" w:line="240" w:lineRule="auto"/>
        <w:jc w:val="center"/>
        <w:rPr>
          <w:b/>
          <w:iCs/>
        </w:rPr>
      </w:pPr>
      <w:bookmarkStart w:id="15" w:name="_Ref422156573"/>
      <w:bookmarkStart w:id="16" w:name="_Toc422385114"/>
      <w:r w:rsidRPr="00426A6F">
        <w:rPr>
          <w:b/>
          <w:iCs/>
        </w:rPr>
        <w:lastRenderedPageBreak/>
        <w:t xml:space="preserve">Table </w:t>
      </w:r>
      <w:r w:rsidRPr="00426A6F">
        <w:rPr>
          <w:b/>
          <w:iCs/>
        </w:rPr>
        <w:fldChar w:fldCharType="begin"/>
      </w:r>
      <w:r w:rsidRPr="00426A6F">
        <w:rPr>
          <w:b/>
          <w:iCs/>
        </w:rPr>
        <w:instrText xml:space="preserve"> SEQ Table \* ARABIC </w:instrText>
      </w:r>
      <w:r w:rsidRPr="00426A6F">
        <w:rPr>
          <w:b/>
          <w:iCs/>
        </w:rPr>
        <w:fldChar w:fldCharType="separate"/>
      </w:r>
      <w:r w:rsidRPr="00426A6F">
        <w:rPr>
          <w:b/>
          <w:iCs/>
          <w:noProof/>
        </w:rPr>
        <w:t>22</w:t>
      </w:r>
      <w:r w:rsidRPr="00426A6F">
        <w:rPr>
          <w:b/>
          <w:iCs/>
          <w:noProof/>
        </w:rPr>
        <w:fldChar w:fldCharType="end"/>
      </w:r>
      <w:bookmarkEnd w:id="15"/>
      <w:r w:rsidRPr="00426A6F">
        <w:rPr>
          <w:b/>
          <w:iCs/>
        </w:rPr>
        <w:t>: Mandatory contributions received by PPA (from the MoF), June 2009 versus April 2013</w:t>
      </w:r>
      <w:bookmarkEnd w:id="16"/>
    </w:p>
    <w:p w14:paraId="4D84745A" w14:textId="77777777" w:rsidR="00426A6F" w:rsidRPr="00426A6F" w:rsidRDefault="00426A6F" w:rsidP="00426A6F">
      <w:pPr>
        <w:keepNext/>
        <w:keepLines/>
        <w:spacing w:after="0" w:line="240" w:lineRule="auto"/>
        <w:jc w:val="both"/>
        <w:rPr>
          <w:rFonts w:ascii="Times New Roman" w:eastAsia="Times New Roman" w:hAnsi="Times New Roman" w:cs="Times New Roman"/>
          <w:b/>
          <w:bCs/>
        </w:rPr>
      </w:pPr>
      <w:r w:rsidRPr="00426A6F">
        <w:rPr>
          <w:rFonts w:ascii="Times New Roman" w:eastAsia="Times New Roman" w:hAnsi="Times New Roman" w:cs="Times New Roman"/>
          <w:noProof/>
        </w:rPr>
        <mc:AlternateContent>
          <mc:Choice Requires="wpc">
            <w:drawing>
              <wp:inline distT="0" distB="0" distL="0" distR="0" wp14:anchorId="1D5FDF2F" wp14:editId="0201BE2F">
                <wp:extent cx="6188710" cy="3846195"/>
                <wp:effectExtent l="0" t="0" r="364490" b="1905"/>
                <wp:docPr id="195" name="Canvas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44" name="Rectangle 6"/>
                        <wps:cNvSpPr>
                          <a:spLocks noChangeArrowheads="1"/>
                        </wps:cNvSpPr>
                        <wps:spPr bwMode="auto">
                          <a:xfrm>
                            <a:off x="0" y="556327"/>
                            <a:ext cx="5450244" cy="284162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Rectangle 7"/>
                        <wps:cNvSpPr>
                          <a:spLocks noChangeArrowheads="1"/>
                        </wps:cNvSpPr>
                        <wps:spPr bwMode="auto">
                          <a:xfrm>
                            <a:off x="3036536" y="585240"/>
                            <a:ext cx="17018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E9D5CA" w14:textId="77777777" w:rsidR="00DF20A2" w:rsidRDefault="00DF20A2" w:rsidP="00426A6F">
                              <w:r>
                                <w:rPr>
                                  <w:rFonts w:ascii="Calibri" w:hAnsi="Calibri" w:cs="Calibri"/>
                                  <w:b/>
                                  <w:bCs/>
                                  <w:color w:val="000000"/>
                                  <w:sz w:val="16"/>
                                  <w:szCs w:val="16"/>
                                </w:rPr>
                                <w:t>PPA</w:t>
                              </w:r>
                            </w:p>
                          </w:txbxContent>
                        </wps:txbx>
                        <wps:bodyPr rot="0" vert="horz" wrap="none" lIns="0" tIns="0" rIns="0" bIns="0" anchor="t" anchorCtr="0" upright="1">
                          <a:spAutoFit/>
                        </wps:bodyPr>
                      </wps:wsp>
                      <wps:wsp>
                        <wps:cNvPr id="146" name="Rectangle 8"/>
                        <wps:cNvSpPr>
                          <a:spLocks noChangeArrowheads="1"/>
                        </wps:cNvSpPr>
                        <wps:spPr bwMode="auto">
                          <a:xfrm>
                            <a:off x="4643755" y="585072"/>
                            <a:ext cx="17018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7C8CB" w14:textId="77777777" w:rsidR="00DF20A2" w:rsidRDefault="00DF20A2" w:rsidP="00426A6F">
                              <w:r>
                                <w:rPr>
                                  <w:rFonts w:ascii="Calibri" w:hAnsi="Calibri" w:cs="Calibri"/>
                                  <w:b/>
                                  <w:bCs/>
                                  <w:color w:val="000000"/>
                                  <w:sz w:val="16"/>
                                  <w:szCs w:val="16"/>
                                </w:rPr>
                                <w:t xml:space="preserve">PPA </w:t>
                              </w:r>
                            </w:p>
                          </w:txbxContent>
                        </wps:txbx>
                        <wps:bodyPr rot="0" vert="horz" wrap="none" lIns="0" tIns="0" rIns="0" bIns="0" anchor="t" anchorCtr="0" upright="1">
                          <a:spAutoFit/>
                        </wps:bodyPr>
                      </wps:wsp>
                      <wps:wsp>
                        <wps:cNvPr id="147" name="Rectangle 9"/>
                        <wps:cNvSpPr>
                          <a:spLocks noChangeArrowheads="1"/>
                        </wps:cNvSpPr>
                        <wps:spPr bwMode="auto">
                          <a:xfrm>
                            <a:off x="3036536" y="694408"/>
                            <a:ext cx="26987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944D92" w14:textId="77777777" w:rsidR="00DF20A2" w:rsidRDefault="00DF20A2" w:rsidP="00426A6F">
                              <w:r>
                                <w:rPr>
                                  <w:rFonts w:ascii="Calibri" w:hAnsi="Calibri" w:cs="Calibri"/>
                                  <w:b/>
                                  <w:bCs/>
                                  <w:color w:val="000000"/>
                                  <w:sz w:val="16"/>
                                  <w:szCs w:val="16"/>
                                </w:rPr>
                                <w:t>(2009)</w:t>
                              </w:r>
                            </w:p>
                          </w:txbxContent>
                        </wps:txbx>
                        <wps:bodyPr rot="0" vert="horz" wrap="none" lIns="0" tIns="0" rIns="0" bIns="0" anchor="t" anchorCtr="0" upright="1">
                          <a:spAutoFit/>
                        </wps:bodyPr>
                      </wps:wsp>
                      <wps:wsp>
                        <wps:cNvPr id="148" name="Rectangle 10"/>
                        <wps:cNvSpPr>
                          <a:spLocks noChangeArrowheads="1"/>
                        </wps:cNvSpPr>
                        <wps:spPr bwMode="auto">
                          <a:xfrm>
                            <a:off x="4643755" y="694208"/>
                            <a:ext cx="26987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BEEADB" w14:textId="77777777" w:rsidR="00DF20A2" w:rsidRDefault="00DF20A2" w:rsidP="00426A6F">
                              <w:r>
                                <w:rPr>
                                  <w:rFonts w:ascii="Calibri" w:hAnsi="Calibri" w:cs="Calibri"/>
                                  <w:b/>
                                  <w:bCs/>
                                  <w:color w:val="000000"/>
                                  <w:sz w:val="16"/>
                                  <w:szCs w:val="16"/>
                                </w:rPr>
                                <w:t>(2013)</w:t>
                              </w:r>
                            </w:p>
                          </w:txbxContent>
                        </wps:txbx>
                        <wps:bodyPr rot="0" vert="horz" wrap="none" lIns="0" tIns="0" rIns="0" bIns="0" anchor="t" anchorCtr="0" upright="1">
                          <a:spAutoFit/>
                        </wps:bodyPr>
                      </wps:wsp>
                      <wps:wsp>
                        <wps:cNvPr id="149" name="Rectangle 11"/>
                        <wps:cNvSpPr>
                          <a:spLocks noChangeArrowheads="1"/>
                        </wps:cNvSpPr>
                        <wps:spPr bwMode="auto">
                          <a:xfrm>
                            <a:off x="3036536" y="925545"/>
                            <a:ext cx="65976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953811" w14:textId="77777777" w:rsidR="00DF20A2" w:rsidRDefault="00DF20A2" w:rsidP="00426A6F">
                              <w:r>
                                <w:rPr>
                                  <w:rFonts w:ascii="Calibri" w:hAnsi="Calibri" w:cs="Calibri"/>
                                  <w:color w:val="000000"/>
                                  <w:sz w:val="16"/>
                                  <w:szCs w:val="16"/>
                                </w:rPr>
                                <w:t xml:space="preserve">Only 10 percent </w:t>
                              </w:r>
                            </w:p>
                          </w:txbxContent>
                        </wps:txbx>
                        <wps:bodyPr rot="0" vert="horz" wrap="none" lIns="0" tIns="0" rIns="0" bIns="0" anchor="t" anchorCtr="0" upright="1">
                          <a:spAutoFit/>
                        </wps:bodyPr>
                      </wps:wsp>
                      <wps:wsp>
                        <wps:cNvPr id="150" name="Rectangle 12"/>
                        <wps:cNvSpPr>
                          <a:spLocks noChangeArrowheads="1"/>
                        </wps:cNvSpPr>
                        <wps:spPr bwMode="auto">
                          <a:xfrm>
                            <a:off x="4578355" y="897912"/>
                            <a:ext cx="1284615" cy="3276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4D258F" w14:textId="77777777" w:rsidR="00DF20A2" w:rsidRDefault="00DF20A2" w:rsidP="00426A6F">
                              <w:r>
                                <w:rPr>
                                  <w:rFonts w:ascii="Calibri" w:hAnsi="Calibri" w:cs="Calibri"/>
                                  <w:b/>
                                  <w:bCs/>
                                  <w:color w:val="0070C0"/>
                                  <w:sz w:val="16"/>
                                  <w:szCs w:val="16"/>
                                </w:rPr>
                                <w:t>No contributions received since May 2011</w:t>
                              </w:r>
                            </w:p>
                          </w:txbxContent>
                        </wps:txbx>
                        <wps:bodyPr rot="0" vert="horz" wrap="square" lIns="0" tIns="0" rIns="0" bIns="0" anchor="t" anchorCtr="0" upright="1">
                          <a:noAutofit/>
                        </wps:bodyPr>
                      </wps:wsp>
                      <wps:wsp>
                        <wps:cNvPr id="151" name="Rectangle 13"/>
                        <wps:cNvSpPr>
                          <a:spLocks noChangeArrowheads="1"/>
                        </wps:cNvSpPr>
                        <wps:spPr bwMode="auto">
                          <a:xfrm>
                            <a:off x="3036536" y="1034716"/>
                            <a:ext cx="35306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F18DC4" w14:textId="77777777" w:rsidR="00DF20A2" w:rsidRDefault="00DF20A2" w:rsidP="00426A6F">
                              <w:r>
                                <w:rPr>
                                  <w:rFonts w:ascii="Calibri" w:hAnsi="Calibri" w:cs="Calibri"/>
                                  <w:color w:val="000000"/>
                                  <w:sz w:val="16"/>
                                  <w:szCs w:val="16"/>
                                </w:rPr>
                                <w:t>received</w:t>
                              </w:r>
                            </w:p>
                          </w:txbxContent>
                        </wps:txbx>
                        <wps:bodyPr rot="0" vert="horz" wrap="none" lIns="0" tIns="0" rIns="0" bIns="0" anchor="t" anchorCtr="0" upright="1">
                          <a:spAutoFit/>
                        </wps:bodyPr>
                      </wps:wsp>
                      <wps:wsp>
                        <wps:cNvPr id="152" name="Rectangle 14"/>
                        <wps:cNvSpPr>
                          <a:spLocks noChangeArrowheads="1"/>
                        </wps:cNvSpPr>
                        <wps:spPr bwMode="auto">
                          <a:xfrm>
                            <a:off x="3036536" y="1729226"/>
                            <a:ext cx="13589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79E5C1" w14:textId="77777777" w:rsidR="00DF20A2" w:rsidRDefault="00DF20A2" w:rsidP="00426A6F">
                              <w:r>
                                <w:rPr>
                                  <w:rFonts w:ascii="Calibri" w:hAnsi="Calibri" w:cs="Calibri"/>
                                  <w:color w:val="000000"/>
                                  <w:sz w:val="16"/>
                                  <w:szCs w:val="16"/>
                                </w:rPr>
                                <w:t xml:space="preserve">For </w:t>
                              </w:r>
                            </w:p>
                          </w:txbxContent>
                        </wps:txbx>
                        <wps:bodyPr rot="0" vert="horz" wrap="none" lIns="0" tIns="0" rIns="0" bIns="0" anchor="t" anchorCtr="0" upright="1">
                          <a:spAutoFit/>
                        </wps:bodyPr>
                      </wps:wsp>
                      <wps:wsp>
                        <wps:cNvPr id="153" name="Rectangle 15"/>
                        <wps:cNvSpPr>
                          <a:spLocks noChangeArrowheads="1"/>
                        </wps:cNvSpPr>
                        <wps:spPr bwMode="auto">
                          <a:xfrm>
                            <a:off x="3200438" y="1729226"/>
                            <a:ext cx="80327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65A53F" w14:textId="77777777" w:rsidR="00DF20A2" w:rsidRDefault="00DF20A2" w:rsidP="00426A6F">
                              <w:r>
                                <w:rPr>
                                  <w:rFonts w:ascii="Calibri" w:hAnsi="Calibri" w:cs="Calibri"/>
                                  <w:color w:val="000000"/>
                                  <w:sz w:val="16"/>
                                  <w:szCs w:val="16"/>
                                </w:rPr>
                                <w:t xml:space="preserve">civil servants only 7 </w:t>
                              </w:r>
                            </w:p>
                          </w:txbxContent>
                        </wps:txbx>
                        <wps:bodyPr rot="0" vert="horz" wrap="none" lIns="0" tIns="0" rIns="0" bIns="0" anchor="t" anchorCtr="0" upright="1">
                          <a:spAutoFit/>
                        </wps:bodyPr>
                      </wps:wsp>
                      <wps:wsp>
                        <wps:cNvPr id="154" name="Rectangle 16"/>
                        <wps:cNvSpPr>
                          <a:spLocks noChangeArrowheads="1"/>
                        </wps:cNvSpPr>
                        <wps:spPr bwMode="auto">
                          <a:xfrm>
                            <a:off x="4561254" y="1729724"/>
                            <a:ext cx="1974124" cy="5728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84B24B" w14:textId="77777777" w:rsidR="00DF20A2" w:rsidRPr="00B01E58" w:rsidRDefault="00DF20A2" w:rsidP="00426A6F">
                              <w:pPr>
                                <w:rPr>
                                  <w:rFonts w:ascii="Calibri" w:hAnsi="Calibri" w:cs="Calibri"/>
                                  <w:b/>
                                  <w:bCs/>
                                  <w:color w:val="0070C0"/>
                                  <w:sz w:val="16"/>
                                  <w:szCs w:val="16"/>
                                </w:rPr>
                              </w:pPr>
                              <w:r>
                                <w:rPr>
                                  <w:rFonts w:ascii="Calibri" w:hAnsi="Calibri" w:cs="Calibri"/>
                                  <w:b/>
                                  <w:bCs/>
                                  <w:color w:val="0070C0"/>
                                  <w:sz w:val="16"/>
                                  <w:szCs w:val="16"/>
                                </w:rPr>
                                <w:t>- No contributions received since May 2011</w:t>
                              </w:r>
                            </w:p>
                            <w:p w14:paraId="7CB8B039" w14:textId="77777777" w:rsidR="00DF20A2" w:rsidRDefault="00DF20A2" w:rsidP="00426A6F">
                              <w:r>
                                <w:rPr>
                                  <w:rFonts w:ascii="Calibri" w:hAnsi="Calibri" w:cs="Calibri"/>
                                  <w:b/>
                                  <w:bCs/>
                                  <w:color w:val="0070C0"/>
                                  <w:sz w:val="16"/>
                                  <w:szCs w:val="16"/>
                                </w:rPr>
                                <w:t>- Only pension payments are received for security forces</w:t>
                              </w:r>
                            </w:p>
                          </w:txbxContent>
                        </wps:txbx>
                        <wps:bodyPr rot="0" vert="horz" wrap="square" lIns="0" tIns="0" rIns="0" bIns="0" anchor="t" anchorCtr="0" upright="1">
                          <a:noAutofit/>
                        </wps:bodyPr>
                      </wps:wsp>
                      <wps:wsp>
                        <wps:cNvPr id="155" name="Rectangle 17"/>
                        <wps:cNvSpPr>
                          <a:spLocks noChangeArrowheads="1"/>
                        </wps:cNvSpPr>
                        <wps:spPr bwMode="auto">
                          <a:xfrm>
                            <a:off x="3036536" y="1837795"/>
                            <a:ext cx="69596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F853D3" w14:textId="77777777" w:rsidR="00DF20A2" w:rsidRDefault="00DF20A2" w:rsidP="00426A6F">
                              <w:r>
                                <w:rPr>
                                  <w:rFonts w:ascii="Calibri" w:hAnsi="Calibri" w:cs="Calibri"/>
                                  <w:color w:val="000000"/>
                                  <w:sz w:val="16"/>
                                  <w:szCs w:val="16"/>
                                </w:rPr>
                                <w:t>percent received</w:t>
                              </w:r>
                            </w:p>
                          </w:txbxContent>
                        </wps:txbx>
                        <wps:bodyPr rot="0" vert="horz" wrap="none" lIns="0" tIns="0" rIns="0" bIns="0" anchor="t" anchorCtr="0" upright="1">
                          <a:spAutoFit/>
                        </wps:bodyPr>
                      </wps:wsp>
                      <wps:wsp>
                        <wps:cNvPr id="156" name="Rectangle 18"/>
                        <wps:cNvSpPr>
                          <a:spLocks noChangeArrowheads="1"/>
                        </wps:cNvSpPr>
                        <wps:spPr bwMode="auto">
                          <a:xfrm>
                            <a:off x="3036536" y="1960263"/>
                            <a:ext cx="3111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82EB87" w14:textId="77777777" w:rsidR="00DF20A2" w:rsidRDefault="00DF20A2" w:rsidP="00426A6F">
                              <w:r>
                                <w:rPr>
                                  <w:rFonts w:ascii="Calibri" w:hAnsi="Calibri" w:cs="Calibri"/>
                                  <w:color w:val="000000"/>
                                  <w:sz w:val="16"/>
                                  <w:szCs w:val="16"/>
                                </w:rPr>
                                <w:t>f</w:t>
                              </w:r>
                            </w:p>
                          </w:txbxContent>
                        </wps:txbx>
                        <wps:bodyPr rot="0" vert="horz" wrap="none" lIns="0" tIns="0" rIns="0" bIns="0" anchor="t" anchorCtr="0" upright="1">
                          <a:spAutoFit/>
                        </wps:bodyPr>
                      </wps:wsp>
                      <wps:wsp>
                        <wps:cNvPr id="157" name="Rectangle 19"/>
                        <wps:cNvSpPr>
                          <a:spLocks noChangeArrowheads="1"/>
                        </wps:cNvSpPr>
                        <wps:spPr bwMode="auto">
                          <a:xfrm>
                            <a:off x="3066437" y="1960261"/>
                            <a:ext cx="113411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91B803" w14:textId="77777777" w:rsidR="00DF20A2" w:rsidRDefault="00DF20A2" w:rsidP="00426A6F">
                              <w:r>
                                <w:rPr>
                                  <w:rFonts w:ascii="Calibri" w:hAnsi="Calibri" w:cs="Calibri"/>
                                  <w:color w:val="000000"/>
                                  <w:sz w:val="16"/>
                                  <w:szCs w:val="16"/>
                                </w:rPr>
                                <w:t>or DB, and 3 percent for DC</w:t>
                              </w:r>
                            </w:p>
                          </w:txbxContent>
                        </wps:txbx>
                        <wps:bodyPr rot="0" vert="horz" wrap="none" lIns="0" tIns="0" rIns="0" bIns="0" anchor="t" anchorCtr="0" upright="1">
                          <a:spAutoFit/>
                        </wps:bodyPr>
                      </wps:wsp>
                      <wps:wsp>
                        <wps:cNvPr id="158" name="Rectangle 20"/>
                        <wps:cNvSpPr>
                          <a:spLocks noChangeArrowheads="1"/>
                        </wps:cNvSpPr>
                        <wps:spPr bwMode="auto">
                          <a:xfrm>
                            <a:off x="3036536" y="2069531"/>
                            <a:ext cx="99504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3B8AE8" w14:textId="77777777" w:rsidR="00DF20A2" w:rsidRDefault="00DF20A2" w:rsidP="00426A6F">
                              <w:r>
                                <w:rPr>
                                  <w:rFonts w:ascii="Calibri" w:hAnsi="Calibri" w:cs="Calibri"/>
                                  <w:color w:val="000000"/>
                                  <w:sz w:val="16"/>
                                  <w:szCs w:val="16"/>
                                </w:rPr>
                                <w:t xml:space="preserve">For security service only </w:t>
                              </w:r>
                            </w:p>
                          </w:txbxContent>
                        </wps:txbx>
                        <wps:bodyPr rot="0" vert="horz" wrap="none" lIns="0" tIns="0" rIns="0" bIns="0" anchor="t" anchorCtr="0" upright="1">
                          <a:spAutoFit/>
                        </wps:bodyPr>
                      </wps:wsp>
                      <wps:wsp>
                        <wps:cNvPr id="159" name="Rectangle 21"/>
                        <wps:cNvSpPr>
                          <a:spLocks noChangeArrowheads="1"/>
                        </wps:cNvSpPr>
                        <wps:spPr bwMode="auto">
                          <a:xfrm>
                            <a:off x="4078649" y="2069531"/>
                            <a:ext cx="32766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00EA25" w14:textId="77777777" w:rsidR="00DF20A2" w:rsidRDefault="00DF20A2" w:rsidP="00426A6F">
                              <w:r>
                                <w:rPr>
                                  <w:rFonts w:ascii="Calibri" w:hAnsi="Calibri" w:cs="Calibri"/>
                                  <w:color w:val="000000"/>
                                  <w:sz w:val="16"/>
                                  <w:szCs w:val="16"/>
                                </w:rPr>
                                <w:t>pension</w:t>
                              </w:r>
                            </w:p>
                          </w:txbxContent>
                        </wps:txbx>
                        <wps:bodyPr rot="0" vert="horz" wrap="none" lIns="0" tIns="0" rIns="0" bIns="0" anchor="t" anchorCtr="0" upright="1">
                          <a:spAutoFit/>
                        </wps:bodyPr>
                      </wps:wsp>
                      <wps:wsp>
                        <wps:cNvPr id="160" name="Rectangle 22"/>
                        <wps:cNvSpPr>
                          <a:spLocks noChangeArrowheads="1"/>
                        </wps:cNvSpPr>
                        <wps:spPr bwMode="auto">
                          <a:xfrm>
                            <a:off x="3051136" y="2178002"/>
                            <a:ext cx="94043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4623E9" w14:textId="77777777" w:rsidR="00DF20A2" w:rsidRDefault="00DF20A2" w:rsidP="00426A6F">
                              <w:r>
                                <w:rPr>
                                  <w:rFonts w:ascii="Calibri" w:hAnsi="Calibri" w:cs="Calibri"/>
                                  <w:color w:val="000000"/>
                                  <w:sz w:val="16"/>
                                  <w:szCs w:val="16"/>
                                </w:rPr>
                                <w:t>payments are received</w:t>
                              </w:r>
                            </w:p>
                          </w:txbxContent>
                        </wps:txbx>
                        <wps:bodyPr rot="0" vert="horz" wrap="none" lIns="0" tIns="0" rIns="0" bIns="0" anchor="t" anchorCtr="0" upright="1">
                          <a:spAutoFit/>
                        </wps:bodyPr>
                      </wps:wsp>
                      <wps:wsp>
                        <wps:cNvPr id="161" name="Rectangle 23"/>
                        <wps:cNvSpPr>
                          <a:spLocks noChangeArrowheads="1"/>
                        </wps:cNvSpPr>
                        <wps:spPr bwMode="auto">
                          <a:xfrm>
                            <a:off x="3036536" y="2750045"/>
                            <a:ext cx="97028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6316C1" w14:textId="77777777" w:rsidR="00DF20A2" w:rsidRDefault="00DF20A2" w:rsidP="00426A6F">
                              <w:r>
                                <w:rPr>
                                  <w:rFonts w:ascii="Calibri" w:hAnsi="Calibri" w:cs="Calibri"/>
                                  <w:color w:val="000000"/>
                                  <w:sz w:val="16"/>
                                  <w:szCs w:val="16"/>
                                </w:rPr>
                                <w:t xml:space="preserve">Only pension payments </w:t>
                              </w:r>
                            </w:p>
                          </w:txbxContent>
                        </wps:txbx>
                        <wps:bodyPr rot="0" vert="horz" wrap="none" lIns="0" tIns="0" rIns="0" bIns="0" anchor="t" anchorCtr="0" upright="1">
                          <a:spAutoFit/>
                        </wps:bodyPr>
                      </wps:wsp>
                      <wps:wsp>
                        <wps:cNvPr id="162" name="Rectangle 24"/>
                        <wps:cNvSpPr>
                          <a:spLocks noChangeArrowheads="1"/>
                        </wps:cNvSpPr>
                        <wps:spPr bwMode="auto">
                          <a:xfrm>
                            <a:off x="3036536" y="2872512"/>
                            <a:ext cx="51054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C60366" w14:textId="77777777" w:rsidR="00DF20A2" w:rsidRDefault="00DF20A2" w:rsidP="00426A6F">
                              <w:r>
                                <w:rPr>
                                  <w:rFonts w:ascii="Calibri" w:hAnsi="Calibri" w:cs="Calibri"/>
                                  <w:color w:val="000000"/>
                                  <w:sz w:val="16"/>
                                  <w:szCs w:val="16"/>
                                </w:rPr>
                                <w:t>are received</w:t>
                              </w:r>
                            </w:p>
                          </w:txbxContent>
                        </wps:txbx>
                        <wps:bodyPr rot="0" vert="horz" wrap="none" lIns="0" tIns="0" rIns="0" bIns="0" anchor="t" anchorCtr="0" upright="1">
                          <a:spAutoFit/>
                        </wps:bodyPr>
                      </wps:wsp>
                      <wps:wsp>
                        <wps:cNvPr id="163" name="Rectangle 25"/>
                        <wps:cNvSpPr>
                          <a:spLocks noChangeArrowheads="1"/>
                        </wps:cNvSpPr>
                        <wps:spPr bwMode="auto">
                          <a:xfrm>
                            <a:off x="4520554" y="2750045"/>
                            <a:ext cx="153733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3F3F8C" w14:textId="77777777" w:rsidR="00DF20A2" w:rsidRDefault="00DF20A2" w:rsidP="00426A6F">
                              <w:r>
                                <w:rPr>
                                  <w:rFonts w:ascii="Calibri" w:hAnsi="Calibri" w:cs="Calibri"/>
                                  <w:b/>
                                  <w:bCs/>
                                  <w:color w:val="0070C0"/>
                                  <w:sz w:val="16"/>
                                  <w:szCs w:val="16"/>
                                </w:rPr>
                                <w:t xml:space="preserve">Only pension payments are received </w:t>
                              </w:r>
                            </w:p>
                          </w:txbxContent>
                        </wps:txbx>
                        <wps:bodyPr rot="0" vert="horz" wrap="none" lIns="0" tIns="0" rIns="0" bIns="0" anchor="t" anchorCtr="0" upright="1">
                          <a:spAutoFit/>
                        </wps:bodyPr>
                      </wps:wsp>
                      <wps:wsp>
                        <wps:cNvPr id="164" name="Rectangle 26"/>
                        <wps:cNvSpPr>
                          <a:spLocks noChangeArrowheads="1"/>
                        </wps:cNvSpPr>
                        <wps:spPr bwMode="auto">
                          <a:xfrm>
                            <a:off x="3036536" y="3321988"/>
                            <a:ext cx="70675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A42B45" w14:textId="77777777" w:rsidR="00DF20A2" w:rsidRDefault="00DF20A2" w:rsidP="00426A6F">
                              <w:r>
                                <w:rPr>
                                  <w:rFonts w:ascii="Calibri" w:hAnsi="Calibri" w:cs="Calibri"/>
                                  <w:color w:val="000000"/>
                                  <w:sz w:val="16"/>
                                  <w:szCs w:val="16"/>
                                </w:rPr>
                                <w:t>Nothing received</w:t>
                              </w:r>
                            </w:p>
                          </w:txbxContent>
                        </wps:txbx>
                        <wps:bodyPr rot="0" vert="horz" wrap="none" lIns="0" tIns="0" rIns="0" bIns="0" anchor="t" anchorCtr="0" upright="1">
                          <a:spAutoFit/>
                        </wps:bodyPr>
                      </wps:wsp>
                      <wps:wsp>
                        <wps:cNvPr id="165" name="Rectangle 27"/>
                        <wps:cNvSpPr>
                          <a:spLocks noChangeArrowheads="1"/>
                        </wps:cNvSpPr>
                        <wps:spPr bwMode="auto">
                          <a:xfrm>
                            <a:off x="4520554" y="3322320"/>
                            <a:ext cx="1537335" cy="521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7262E" w14:textId="77777777" w:rsidR="00DF20A2" w:rsidRDefault="00DF20A2" w:rsidP="00426A6F">
                              <w:r>
                                <w:rPr>
                                  <w:rFonts w:ascii="Calibri" w:hAnsi="Calibri" w:cs="Calibri"/>
                                  <w:b/>
                                  <w:bCs/>
                                  <w:color w:val="0070C0"/>
                                  <w:sz w:val="16"/>
                                  <w:szCs w:val="16"/>
                                </w:rPr>
                                <w:t xml:space="preserve">Only pension payments are received </w:t>
                              </w:r>
                            </w:p>
                            <w:p w14:paraId="47E096BD" w14:textId="77777777" w:rsidR="00DF20A2" w:rsidRDefault="00DF20A2" w:rsidP="00426A6F"/>
                          </w:txbxContent>
                        </wps:txbx>
                        <wps:bodyPr rot="0" vert="horz" wrap="none" lIns="0" tIns="0" rIns="0" bIns="0" anchor="t" anchorCtr="0" upright="1">
                          <a:spAutoFit/>
                        </wps:bodyPr>
                      </wps:wsp>
                      <wps:wsp>
                        <wps:cNvPr id="166" name="Rectangle 30"/>
                        <wps:cNvSpPr>
                          <a:spLocks noChangeArrowheads="1"/>
                        </wps:cNvSpPr>
                        <wps:spPr bwMode="auto">
                          <a:xfrm>
                            <a:off x="608907" y="83808"/>
                            <a:ext cx="8191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8241B6" w14:textId="77777777" w:rsidR="00DF20A2" w:rsidRDefault="00DF20A2" w:rsidP="00426A6F"/>
                          </w:txbxContent>
                        </wps:txbx>
                        <wps:bodyPr rot="0" vert="horz" wrap="none" lIns="0" tIns="0" rIns="0" bIns="0" anchor="t" anchorCtr="0" upright="1">
                          <a:spAutoFit/>
                        </wps:bodyPr>
                      </wps:wsp>
                      <wps:wsp>
                        <wps:cNvPr id="167" name="Rectangle 31"/>
                        <wps:cNvSpPr>
                          <a:spLocks noChangeArrowheads="1"/>
                        </wps:cNvSpPr>
                        <wps:spPr bwMode="auto">
                          <a:xfrm>
                            <a:off x="70401" y="830852"/>
                            <a:ext cx="42100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C632FF" w14:textId="77777777" w:rsidR="00DF20A2" w:rsidRPr="0025775B" w:rsidRDefault="00DF20A2" w:rsidP="00426A6F">
                              <w:pPr>
                                <w:rPr>
                                  <w:sz w:val="18"/>
                                  <w:szCs w:val="18"/>
                                </w:rPr>
                              </w:pPr>
                              <w:r w:rsidRPr="0025775B">
                                <w:rPr>
                                  <w:rFonts w:ascii="Calibri" w:hAnsi="Calibri" w:cs="Calibri"/>
                                  <w:color w:val="000000"/>
                                  <w:sz w:val="18"/>
                                  <w:szCs w:val="18"/>
                                </w:rPr>
                                <w:t>Scheme I</w:t>
                              </w:r>
                            </w:p>
                          </w:txbxContent>
                        </wps:txbx>
                        <wps:bodyPr rot="0" vert="horz" wrap="none" lIns="0" tIns="0" rIns="0" bIns="0" anchor="t" anchorCtr="0" upright="1">
                          <a:spAutoFit/>
                        </wps:bodyPr>
                      </wps:wsp>
                      <wps:wsp>
                        <wps:cNvPr id="168" name="Rectangle 32"/>
                        <wps:cNvSpPr>
                          <a:spLocks noChangeArrowheads="1"/>
                        </wps:cNvSpPr>
                        <wps:spPr bwMode="auto">
                          <a:xfrm>
                            <a:off x="70401" y="1608409"/>
                            <a:ext cx="44958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3A6705" w14:textId="77777777" w:rsidR="00DF20A2" w:rsidRPr="0025775B" w:rsidRDefault="00DF20A2" w:rsidP="00426A6F">
                              <w:pPr>
                                <w:rPr>
                                  <w:sz w:val="18"/>
                                  <w:szCs w:val="18"/>
                                </w:rPr>
                              </w:pPr>
                              <w:r w:rsidRPr="0025775B">
                                <w:rPr>
                                  <w:rFonts w:ascii="Calibri" w:hAnsi="Calibri" w:cs="Calibri"/>
                                  <w:color w:val="000000"/>
                                  <w:sz w:val="18"/>
                                  <w:szCs w:val="18"/>
                                </w:rPr>
                                <w:t>Scheme II</w:t>
                              </w:r>
                            </w:p>
                          </w:txbxContent>
                        </wps:txbx>
                        <wps:bodyPr rot="0" vert="horz" wrap="none" lIns="0" tIns="0" rIns="0" bIns="0" anchor="t" anchorCtr="0" upright="1">
                          <a:spAutoFit/>
                        </wps:bodyPr>
                      </wps:wsp>
                      <wps:wsp>
                        <wps:cNvPr id="169" name="Rectangle 33"/>
                        <wps:cNvSpPr>
                          <a:spLocks noChangeArrowheads="1"/>
                        </wps:cNvSpPr>
                        <wps:spPr bwMode="auto">
                          <a:xfrm>
                            <a:off x="70401" y="2633293"/>
                            <a:ext cx="47879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39359A" w14:textId="77777777" w:rsidR="00DF20A2" w:rsidRPr="0025775B" w:rsidRDefault="00DF20A2" w:rsidP="00426A6F">
                              <w:pPr>
                                <w:rPr>
                                  <w:sz w:val="18"/>
                                  <w:szCs w:val="18"/>
                                </w:rPr>
                              </w:pPr>
                              <w:r w:rsidRPr="0025775B">
                                <w:rPr>
                                  <w:rFonts w:ascii="Calibri" w:hAnsi="Calibri" w:cs="Calibri"/>
                                  <w:color w:val="000000"/>
                                  <w:sz w:val="18"/>
                                  <w:szCs w:val="18"/>
                                </w:rPr>
                                <w:t>Scheme III</w:t>
                              </w:r>
                            </w:p>
                          </w:txbxContent>
                        </wps:txbx>
                        <wps:bodyPr rot="0" vert="horz" wrap="none" lIns="0" tIns="0" rIns="0" bIns="0" anchor="t" anchorCtr="0" upright="1">
                          <a:spAutoFit/>
                        </wps:bodyPr>
                      </wps:wsp>
                      <wps:wsp>
                        <wps:cNvPr id="170" name="Rectangle 34"/>
                        <wps:cNvSpPr>
                          <a:spLocks noChangeArrowheads="1"/>
                        </wps:cNvSpPr>
                        <wps:spPr bwMode="auto">
                          <a:xfrm>
                            <a:off x="101005" y="3209781"/>
                            <a:ext cx="48577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2610A8" w14:textId="77777777" w:rsidR="00DF20A2" w:rsidRPr="0025775B" w:rsidRDefault="00DF20A2" w:rsidP="00426A6F">
                              <w:pPr>
                                <w:rPr>
                                  <w:sz w:val="18"/>
                                  <w:szCs w:val="18"/>
                                </w:rPr>
                              </w:pPr>
                              <w:r w:rsidRPr="0025775B">
                                <w:rPr>
                                  <w:rFonts w:ascii="Calibri" w:hAnsi="Calibri" w:cs="Calibri"/>
                                  <w:color w:val="000000"/>
                                  <w:sz w:val="18"/>
                                  <w:szCs w:val="18"/>
                                </w:rPr>
                                <w:t>Scheme IV</w:t>
                              </w:r>
                            </w:p>
                          </w:txbxContent>
                        </wps:txbx>
                        <wps:bodyPr rot="0" vert="horz" wrap="none" lIns="0" tIns="0" rIns="0" bIns="0" anchor="t" anchorCtr="0" upright="1">
                          <a:spAutoFit/>
                        </wps:bodyPr>
                      </wps:wsp>
                      <wps:wsp>
                        <wps:cNvPr id="171" name="Freeform 35"/>
                        <wps:cNvSpPr>
                          <a:spLocks noEditPoints="1"/>
                        </wps:cNvSpPr>
                        <wps:spPr bwMode="auto">
                          <a:xfrm>
                            <a:off x="788609" y="721910"/>
                            <a:ext cx="2024424" cy="503607"/>
                          </a:xfrm>
                          <a:custGeom>
                            <a:avLst/>
                            <a:gdLst>
                              <a:gd name="T0" fmla="*/ 0 w 3188"/>
                              <a:gd name="T1" fmla="*/ 13335 h 793"/>
                              <a:gd name="T2" fmla="*/ 0 w 3188"/>
                              <a:gd name="T3" fmla="*/ 13335 h 793"/>
                              <a:gd name="T4" fmla="*/ 15240 w 3188"/>
                              <a:gd name="T5" fmla="*/ 0 h 793"/>
                              <a:gd name="T6" fmla="*/ 1310005 w 3188"/>
                              <a:gd name="T7" fmla="*/ 0 h 793"/>
                              <a:gd name="T8" fmla="*/ 1324610 w 3188"/>
                              <a:gd name="T9" fmla="*/ 13335 h 793"/>
                              <a:gd name="T10" fmla="*/ 1324610 w 3188"/>
                              <a:gd name="T11" fmla="*/ 13335 h 793"/>
                              <a:gd name="T12" fmla="*/ 1324610 w 3188"/>
                              <a:gd name="T13" fmla="*/ 190500 h 793"/>
                              <a:gd name="T14" fmla="*/ 1310005 w 3188"/>
                              <a:gd name="T15" fmla="*/ 190500 h 793"/>
                              <a:gd name="T16" fmla="*/ 1875790 w 3188"/>
                              <a:gd name="T17" fmla="*/ 190500 h 793"/>
                              <a:gd name="T18" fmla="*/ 1875790 w 3188"/>
                              <a:gd name="T19" fmla="*/ 190500 h 793"/>
                              <a:gd name="T20" fmla="*/ 1875790 w 3188"/>
                              <a:gd name="T21" fmla="*/ 135890 h 793"/>
                              <a:gd name="T22" fmla="*/ 1875790 w 3188"/>
                              <a:gd name="T23" fmla="*/ 135890 h 793"/>
                              <a:gd name="T24" fmla="*/ 1875790 w 3188"/>
                              <a:gd name="T25" fmla="*/ 122555 h 793"/>
                              <a:gd name="T26" fmla="*/ 1890395 w 3188"/>
                              <a:gd name="T27" fmla="*/ 122555 h 793"/>
                              <a:gd name="T28" fmla="*/ 1890395 w 3188"/>
                              <a:gd name="T29" fmla="*/ 135890 h 793"/>
                              <a:gd name="T30" fmla="*/ 2024380 w 3188"/>
                              <a:gd name="T31" fmla="*/ 258445 h 793"/>
                              <a:gd name="T32" fmla="*/ 2024380 w 3188"/>
                              <a:gd name="T33" fmla="*/ 258445 h 793"/>
                              <a:gd name="T34" fmla="*/ 2024380 w 3188"/>
                              <a:gd name="T35" fmla="*/ 258445 h 793"/>
                              <a:gd name="T36" fmla="*/ 1890395 w 3188"/>
                              <a:gd name="T37" fmla="*/ 381000 h 793"/>
                              <a:gd name="T38" fmla="*/ 1890395 w 3188"/>
                              <a:gd name="T39" fmla="*/ 381000 h 793"/>
                              <a:gd name="T40" fmla="*/ 1875790 w 3188"/>
                              <a:gd name="T41" fmla="*/ 381000 h 793"/>
                              <a:gd name="T42" fmla="*/ 1875790 w 3188"/>
                              <a:gd name="T43" fmla="*/ 381000 h 793"/>
                              <a:gd name="T44" fmla="*/ 1875790 w 3188"/>
                              <a:gd name="T45" fmla="*/ 381000 h 793"/>
                              <a:gd name="T46" fmla="*/ 1875790 w 3188"/>
                              <a:gd name="T47" fmla="*/ 313055 h 793"/>
                              <a:gd name="T48" fmla="*/ 1875790 w 3188"/>
                              <a:gd name="T49" fmla="*/ 326390 h 793"/>
                              <a:gd name="T50" fmla="*/ 1310005 w 3188"/>
                              <a:gd name="T51" fmla="*/ 326390 h 793"/>
                              <a:gd name="T52" fmla="*/ 1324610 w 3188"/>
                              <a:gd name="T53" fmla="*/ 313055 h 793"/>
                              <a:gd name="T54" fmla="*/ 1324610 w 3188"/>
                              <a:gd name="T55" fmla="*/ 503555 h 793"/>
                              <a:gd name="T56" fmla="*/ 1324610 w 3188"/>
                              <a:gd name="T57" fmla="*/ 503555 h 793"/>
                              <a:gd name="T58" fmla="*/ 1310005 w 3188"/>
                              <a:gd name="T59" fmla="*/ 503555 h 793"/>
                              <a:gd name="T60" fmla="*/ 15240 w 3188"/>
                              <a:gd name="T61" fmla="*/ 503555 h 793"/>
                              <a:gd name="T62" fmla="*/ 0 w 3188"/>
                              <a:gd name="T63" fmla="*/ 503555 h 793"/>
                              <a:gd name="T64" fmla="*/ 0 w 3188"/>
                              <a:gd name="T65" fmla="*/ 503555 h 793"/>
                              <a:gd name="T66" fmla="*/ 0 w 3188"/>
                              <a:gd name="T67" fmla="*/ 13335 h 793"/>
                              <a:gd name="T68" fmla="*/ 15240 w 3188"/>
                              <a:gd name="T69" fmla="*/ 503555 h 793"/>
                              <a:gd name="T70" fmla="*/ 15240 w 3188"/>
                              <a:gd name="T71" fmla="*/ 490220 h 793"/>
                              <a:gd name="T72" fmla="*/ 1310005 w 3188"/>
                              <a:gd name="T73" fmla="*/ 490220 h 793"/>
                              <a:gd name="T74" fmla="*/ 1310005 w 3188"/>
                              <a:gd name="T75" fmla="*/ 503555 h 793"/>
                              <a:gd name="T76" fmla="*/ 1310005 w 3188"/>
                              <a:gd name="T77" fmla="*/ 313055 h 793"/>
                              <a:gd name="T78" fmla="*/ 1310005 w 3188"/>
                              <a:gd name="T79" fmla="*/ 313055 h 793"/>
                              <a:gd name="T80" fmla="*/ 1310005 w 3188"/>
                              <a:gd name="T81" fmla="*/ 313055 h 793"/>
                              <a:gd name="T82" fmla="*/ 1875790 w 3188"/>
                              <a:gd name="T83" fmla="*/ 313055 h 793"/>
                              <a:gd name="T84" fmla="*/ 1890395 w 3188"/>
                              <a:gd name="T85" fmla="*/ 313055 h 793"/>
                              <a:gd name="T86" fmla="*/ 1890395 w 3188"/>
                              <a:gd name="T87" fmla="*/ 313055 h 793"/>
                              <a:gd name="T88" fmla="*/ 1890395 w 3188"/>
                              <a:gd name="T89" fmla="*/ 381000 h 793"/>
                              <a:gd name="T90" fmla="*/ 1875790 w 3188"/>
                              <a:gd name="T91" fmla="*/ 381000 h 793"/>
                              <a:gd name="T92" fmla="*/ 2009775 w 3188"/>
                              <a:gd name="T93" fmla="*/ 258445 h 793"/>
                              <a:gd name="T94" fmla="*/ 2009775 w 3188"/>
                              <a:gd name="T95" fmla="*/ 258445 h 793"/>
                              <a:gd name="T96" fmla="*/ 1875790 w 3188"/>
                              <a:gd name="T97" fmla="*/ 135890 h 793"/>
                              <a:gd name="T98" fmla="*/ 1890395 w 3188"/>
                              <a:gd name="T99" fmla="*/ 135890 h 793"/>
                              <a:gd name="T100" fmla="*/ 1890395 w 3188"/>
                              <a:gd name="T101" fmla="*/ 190500 h 793"/>
                              <a:gd name="T102" fmla="*/ 1890395 w 3188"/>
                              <a:gd name="T103" fmla="*/ 203835 h 793"/>
                              <a:gd name="T104" fmla="*/ 1875790 w 3188"/>
                              <a:gd name="T105" fmla="*/ 203835 h 793"/>
                              <a:gd name="T106" fmla="*/ 1310005 w 3188"/>
                              <a:gd name="T107" fmla="*/ 203835 h 793"/>
                              <a:gd name="T108" fmla="*/ 1310005 w 3188"/>
                              <a:gd name="T109" fmla="*/ 203835 h 793"/>
                              <a:gd name="T110" fmla="*/ 1310005 w 3188"/>
                              <a:gd name="T111" fmla="*/ 190500 h 793"/>
                              <a:gd name="T112" fmla="*/ 1310005 w 3188"/>
                              <a:gd name="T113" fmla="*/ 13335 h 793"/>
                              <a:gd name="T114" fmla="*/ 1310005 w 3188"/>
                              <a:gd name="T115" fmla="*/ 13335 h 793"/>
                              <a:gd name="T116" fmla="*/ 15240 w 3188"/>
                              <a:gd name="T117" fmla="*/ 13335 h 793"/>
                              <a:gd name="T118" fmla="*/ 15240 w 3188"/>
                              <a:gd name="T119" fmla="*/ 13335 h 793"/>
                              <a:gd name="T120" fmla="*/ 15240 w 3188"/>
                              <a:gd name="T121" fmla="*/ 503555 h 793"/>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3188" h="793">
                                <a:moveTo>
                                  <a:pt x="0" y="21"/>
                                </a:moveTo>
                                <a:lnTo>
                                  <a:pt x="0" y="21"/>
                                </a:lnTo>
                                <a:lnTo>
                                  <a:pt x="24" y="0"/>
                                </a:lnTo>
                                <a:lnTo>
                                  <a:pt x="2063" y="0"/>
                                </a:lnTo>
                                <a:lnTo>
                                  <a:pt x="2086" y="21"/>
                                </a:lnTo>
                                <a:lnTo>
                                  <a:pt x="2086" y="300"/>
                                </a:lnTo>
                                <a:lnTo>
                                  <a:pt x="2063" y="300"/>
                                </a:lnTo>
                                <a:lnTo>
                                  <a:pt x="2954" y="300"/>
                                </a:lnTo>
                                <a:lnTo>
                                  <a:pt x="2954" y="214"/>
                                </a:lnTo>
                                <a:lnTo>
                                  <a:pt x="2954" y="193"/>
                                </a:lnTo>
                                <a:lnTo>
                                  <a:pt x="2977" y="193"/>
                                </a:lnTo>
                                <a:lnTo>
                                  <a:pt x="2977" y="214"/>
                                </a:lnTo>
                                <a:lnTo>
                                  <a:pt x="3188" y="407"/>
                                </a:lnTo>
                                <a:lnTo>
                                  <a:pt x="2977" y="600"/>
                                </a:lnTo>
                                <a:lnTo>
                                  <a:pt x="2954" y="600"/>
                                </a:lnTo>
                                <a:lnTo>
                                  <a:pt x="2954" y="493"/>
                                </a:lnTo>
                                <a:lnTo>
                                  <a:pt x="2954" y="514"/>
                                </a:lnTo>
                                <a:lnTo>
                                  <a:pt x="2063" y="514"/>
                                </a:lnTo>
                                <a:lnTo>
                                  <a:pt x="2086" y="493"/>
                                </a:lnTo>
                                <a:lnTo>
                                  <a:pt x="2086" y="793"/>
                                </a:lnTo>
                                <a:lnTo>
                                  <a:pt x="2063" y="793"/>
                                </a:lnTo>
                                <a:lnTo>
                                  <a:pt x="24" y="793"/>
                                </a:lnTo>
                                <a:lnTo>
                                  <a:pt x="0" y="793"/>
                                </a:lnTo>
                                <a:lnTo>
                                  <a:pt x="0" y="21"/>
                                </a:lnTo>
                                <a:close/>
                                <a:moveTo>
                                  <a:pt x="24" y="793"/>
                                </a:moveTo>
                                <a:lnTo>
                                  <a:pt x="24" y="772"/>
                                </a:lnTo>
                                <a:lnTo>
                                  <a:pt x="2063" y="772"/>
                                </a:lnTo>
                                <a:lnTo>
                                  <a:pt x="2063" y="793"/>
                                </a:lnTo>
                                <a:lnTo>
                                  <a:pt x="2063" y="493"/>
                                </a:lnTo>
                                <a:lnTo>
                                  <a:pt x="2954" y="493"/>
                                </a:lnTo>
                                <a:lnTo>
                                  <a:pt x="2977" y="493"/>
                                </a:lnTo>
                                <a:lnTo>
                                  <a:pt x="2977" y="600"/>
                                </a:lnTo>
                                <a:lnTo>
                                  <a:pt x="2954" y="600"/>
                                </a:lnTo>
                                <a:lnTo>
                                  <a:pt x="3165" y="407"/>
                                </a:lnTo>
                                <a:lnTo>
                                  <a:pt x="2954" y="214"/>
                                </a:lnTo>
                                <a:lnTo>
                                  <a:pt x="2977" y="214"/>
                                </a:lnTo>
                                <a:lnTo>
                                  <a:pt x="2977" y="300"/>
                                </a:lnTo>
                                <a:lnTo>
                                  <a:pt x="2977" y="321"/>
                                </a:lnTo>
                                <a:lnTo>
                                  <a:pt x="2954" y="321"/>
                                </a:lnTo>
                                <a:lnTo>
                                  <a:pt x="2063" y="321"/>
                                </a:lnTo>
                                <a:lnTo>
                                  <a:pt x="2063" y="300"/>
                                </a:lnTo>
                                <a:lnTo>
                                  <a:pt x="2063" y="21"/>
                                </a:lnTo>
                                <a:lnTo>
                                  <a:pt x="24" y="21"/>
                                </a:lnTo>
                                <a:lnTo>
                                  <a:pt x="24" y="793"/>
                                </a:lnTo>
                                <a:close/>
                              </a:path>
                            </a:pathLst>
                          </a:custGeom>
                          <a:solidFill>
                            <a:srgbClr val="385D8A"/>
                          </a:solidFill>
                          <a:ln w="0">
                            <a:solidFill>
                              <a:srgbClr val="385D8A"/>
                            </a:solidFill>
                            <a:round/>
                            <a:headEnd/>
                            <a:tailEnd/>
                          </a:ln>
                        </wps:spPr>
                        <wps:bodyPr rot="0" vert="horz" wrap="square" lIns="91440" tIns="45720" rIns="91440" bIns="45720" anchor="t" anchorCtr="0" upright="1">
                          <a:noAutofit/>
                        </wps:bodyPr>
                      </wps:wsp>
                      <wps:wsp>
                        <wps:cNvPr id="172" name="Freeform 36"/>
                        <wps:cNvSpPr>
                          <a:spLocks noEditPoints="1"/>
                        </wps:cNvSpPr>
                        <wps:spPr bwMode="auto">
                          <a:xfrm>
                            <a:off x="788609" y="1334718"/>
                            <a:ext cx="2024424" cy="1075715"/>
                          </a:xfrm>
                          <a:custGeom>
                            <a:avLst/>
                            <a:gdLst>
                              <a:gd name="T0" fmla="*/ 0 w 3188"/>
                              <a:gd name="T1" fmla="*/ 13335 h 1694"/>
                              <a:gd name="T2" fmla="*/ 0 w 3188"/>
                              <a:gd name="T3" fmla="*/ 13335 h 1694"/>
                              <a:gd name="T4" fmla="*/ 15240 w 3188"/>
                              <a:gd name="T5" fmla="*/ 0 h 1694"/>
                              <a:gd name="T6" fmla="*/ 1310005 w 3188"/>
                              <a:gd name="T7" fmla="*/ 0 h 1694"/>
                              <a:gd name="T8" fmla="*/ 1324610 w 3188"/>
                              <a:gd name="T9" fmla="*/ 13335 h 1694"/>
                              <a:gd name="T10" fmla="*/ 1324610 w 3188"/>
                              <a:gd name="T11" fmla="*/ 13335 h 1694"/>
                              <a:gd name="T12" fmla="*/ 1324610 w 3188"/>
                              <a:gd name="T13" fmla="*/ 408305 h 1694"/>
                              <a:gd name="T14" fmla="*/ 1310005 w 3188"/>
                              <a:gd name="T15" fmla="*/ 408305 h 1694"/>
                              <a:gd name="T16" fmla="*/ 1816100 w 3188"/>
                              <a:gd name="T17" fmla="*/ 408305 h 1694"/>
                              <a:gd name="T18" fmla="*/ 1801495 w 3188"/>
                              <a:gd name="T19" fmla="*/ 408305 h 1694"/>
                              <a:gd name="T20" fmla="*/ 1801495 w 3188"/>
                              <a:gd name="T21" fmla="*/ 271780 h 1694"/>
                              <a:gd name="T22" fmla="*/ 1801495 w 3188"/>
                              <a:gd name="T23" fmla="*/ 271780 h 1694"/>
                              <a:gd name="T24" fmla="*/ 1816100 w 3188"/>
                              <a:gd name="T25" fmla="*/ 271780 h 1694"/>
                              <a:gd name="T26" fmla="*/ 1816100 w 3188"/>
                              <a:gd name="T27" fmla="*/ 271780 h 1694"/>
                              <a:gd name="T28" fmla="*/ 1816100 w 3188"/>
                              <a:gd name="T29" fmla="*/ 271780 h 1694"/>
                              <a:gd name="T30" fmla="*/ 2024380 w 3188"/>
                              <a:gd name="T31" fmla="*/ 544195 h 1694"/>
                              <a:gd name="T32" fmla="*/ 2024380 w 3188"/>
                              <a:gd name="T33" fmla="*/ 544195 h 1694"/>
                              <a:gd name="T34" fmla="*/ 2024380 w 3188"/>
                              <a:gd name="T35" fmla="*/ 544195 h 1694"/>
                              <a:gd name="T36" fmla="*/ 1816100 w 3188"/>
                              <a:gd name="T37" fmla="*/ 816610 h 1694"/>
                              <a:gd name="T38" fmla="*/ 1816100 w 3188"/>
                              <a:gd name="T39" fmla="*/ 816610 h 1694"/>
                              <a:gd name="T40" fmla="*/ 1816100 w 3188"/>
                              <a:gd name="T41" fmla="*/ 816610 h 1694"/>
                              <a:gd name="T42" fmla="*/ 1801495 w 3188"/>
                              <a:gd name="T43" fmla="*/ 816610 h 1694"/>
                              <a:gd name="T44" fmla="*/ 1801495 w 3188"/>
                              <a:gd name="T45" fmla="*/ 803275 h 1694"/>
                              <a:gd name="T46" fmla="*/ 1801495 w 3188"/>
                              <a:gd name="T47" fmla="*/ 680720 h 1694"/>
                              <a:gd name="T48" fmla="*/ 1816100 w 3188"/>
                              <a:gd name="T49" fmla="*/ 680720 h 1694"/>
                              <a:gd name="T50" fmla="*/ 1310005 w 3188"/>
                              <a:gd name="T51" fmla="*/ 680720 h 1694"/>
                              <a:gd name="T52" fmla="*/ 1324610 w 3188"/>
                              <a:gd name="T53" fmla="*/ 680720 h 1694"/>
                              <a:gd name="T54" fmla="*/ 1324610 w 3188"/>
                              <a:gd name="T55" fmla="*/ 1075690 h 1694"/>
                              <a:gd name="T56" fmla="*/ 1324610 w 3188"/>
                              <a:gd name="T57" fmla="*/ 1075690 h 1694"/>
                              <a:gd name="T58" fmla="*/ 1310005 w 3188"/>
                              <a:gd name="T59" fmla="*/ 1075690 h 1694"/>
                              <a:gd name="T60" fmla="*/ 15240 w 3188"/>
                              <a:gd name="T61" fmla="*/ 1075690 h 1694"/>
                              <a:gd name="T62" fmla="*/ 0 w 3188"/>
                              <a:gd name="T63" fmla="*/ 1075690 h 1694"/>
                              <a:gd name="T64" fmla="*/ 0 w 3188"/>
                              <a:gd name="T65" fmla="*/ 1075690 h 1694"/>
                              <a:gd name="T66" fmla="*/ 0 w 3188"/>
                              <a:gd name="T67" fmla="*/ 13335 h 1694"/>
                              <a:gd name="T68" fmla="*/ 15240 w 3188"/>
                              <a:gd name="T69" fmla="*/ 1075690 h 1694"/>
                              <a:gd name="T70" fmla="*/ 15240 w 3188"/>
                              <a:gd name="T71" fmla="*/ 1061720 h 1694"/>
                              <a:gd name="T72" fmla="*/ 1310005 w 3188"/>
                              <a:gd name="T73" fmla="*/ 1061720 h 1694"/>
                              <a:gd name="T74" fmla="*/ 1310005 w 3188"/>
                              <a:gd name="T75" fmla="*/ 1075690 h 1694"/>
                              <a:gd name="T76" fmla="*/ 1310005 w 3188"/>
                              <a:gd name="T77" fmla="*/ 680720 h 1694"/>
                              <a:gd name="T78" fmla="*/ 1310005 w 3188"/>
                              <a:gd name="T79" fmla="*/ 666750 h 1694"/>
                              <a:gd name="T80" fmla="*/ 1310005 w 3188"/>
                              <a:gd name="T81" fmla="*/ 666750 h 1694"/>
                              <a:gd name="T82" fmla="*/ 1816100 w 3188"/>
                              <a:gd name="T83" fmla="*/ 666750 h 1694"/>
                              <a:gd name="T84" fmla="*/ 1816100 w 3188"/>
                              <a:gd name="T85" fmla="*/ 666750 h 1694"/>
                              <a:gd name="T86" fmla="*/ 1816100 w 3188"/>
                              <a:gd name="T87" fmla="*/ 680720 h 1694"/>
                              <a:gd name="T88" fmla="*/ 1816100 w 3188"/>
                              <a:gd name="T89" fmla="*/ 803275 h 1694"/>
                              <a:gd name="T90" fmla="*/ 1801495 w 3188"/>
                              <a:gd name="T91" fmla="*/ 803275 h 1694"/>
                              <a:gd name="T92" fmla="*/ 2009775 w 3188"/>
                              <a:gd name="T93" fmla="*/ 544195 h 1694"/>
                              <a:gd name="T94" fmla="*/ 2009775 w 3188"/>
                              <a:gd name="T95" fmla="*/ 544195 h 1694"/>
                              <a:gd name="T96" fmla="*/ 1801495 w 3188"/>
                              <a:gd name="T97" fmla="*/ 285750 h 1694"/>
                              <a:gd name="T98" fmla="*/ 1816100 w 3188"/>
                              <a:gd name="T99" fmla="*/ 271780 h 1694"/>
                              <a:gd name="T100" fmla="*/ 1816100 w 3188"/>
                              <a:gd name="T101" fmla="*/ 408305 h 1694"/>
                              <a:gd name="T102" fmla="*/ 1816100 w 3188"/>
                              <a:gd name="T103" fmla="*/ 408305 h 1694"/>
                              <a:gd name="T104" fmla="*/ 1816100 w 3188"/>
                              <a:gd name="T105" fmla="*/ 421640 h 1694"/>
                              <a:gd name="T106" fmla="*/ 1310005 w 3188"/>
                              <a:gd name="T107" fmla="*/ 421640 h 1694"/>
                              <a:gd name="T108" fmla="*/ 1310005 w 3188"/>
                              <a:gd name="T109" fmla="*/ 408305 h 1694"/>
                              <a:gd name="T110" fmla="*/ 1310005 w 3188"/>
                              <a:gd name="T111" fmla="*/ 408305 h 1694"/>
                              <a:gd name="T112" fmla="*/ 1310005 w 3188"/>
                              <a:gd name="T113" fmla="*/ 13335 h 1694"/>
                              <a:gd name="T114" fmla="*/ 1310005 w 3188"/>
                              <a:gd name="T115" fmla="*/ 13335 h 1694"/>
                              <a:gd name="T116" fmla="*/ 15240 w 3188"/>
                              <a:gd name="T117" fmla="*/ 13335 h 1694"/>
                              <a:gd name="T118" fmla="*/ 15240 w 3188"/>
                              <a:gd name="T119" fmla="*/ 13335 h 1694"/>
                              <a:gd name="T120" fmla="*/ 15240 w 3188"/>
                              <a:gd name="T121" fmla="*/ 1075690 h 1694"/>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3188" h="1694">
                                <a:moveTo>
                                  <a:pt x="0" y="21"/>
                                </a:moveTo>
                                <a:lnTo>
                                  <a:pt x="0" y="21"/>
                                </a:lnTo>
                                <a:lnTo>
                                  <a:pt x="24" y="0"/>
                                </a:lnTo>
                                <a:lnTo>
                                  <a:pt x="2063" y="0"/>
                                </a:lnTo>
                                <a:lnTo>
                                  <a:pt x="2086" y="21"/>
                                </a:lnTo>
                                <a:lnTo>
                                  <a:pt x="2086" y="643"/>
                                </a:lnTo>
                                <a:lnTo>
                                  <a:pt x="2063" y="643"/>
                                </a:lnTo>
                                <a:lnTo>
                                  <a:pt x="2860" y="643"/>
                                </a:lnTo>
                                <a:lnTo>
                                  <a:pt x="2837" y="643"/>
                                </a:lnTo>
                                <a:lnTo>
                                  <a:pt x="2837" y="428"/>
                                </a:lnTo>
                                <a:lnTo>
                                  <a:pt x="2860" y="428"/>
                                </a:lnTo>
                                <a:lnTo>
                                  <a:pt x="3188" y="857"/>
                                </a:lnTo>
                                <a:lnTo>
                                  <a:pt x="2860" y="1286"/>
                                </a:lnTo>
                                <a:lnTo>
                                  <a:pt x="2837" y="1286"/>
                                </a:lnTo>
                                <a:lnTo>
                                  <a:pt x="2837" y="1265"/>
                                </a:lnTo>
                                <a:lnTo>
                                  <a:pt x="2837" y="1072"/>
                                </a:lnTo>
                                <a:lnTo>
                                  <a:pt x="2860" y="1072"/>
                                </a:lnTo>
                                <a:lnTo>
                                  <a:pt x="2063" y="1072"/>
                                </a:lnTo>
                                <a:lnTo>
                                  <a:pt x="2086" y="1072"/>
                                </a:lnTo>
                                <a:lnTo>
                                  <a:pt x="2086" y="1694"/>
                                </a:lnTo>
                                <a:lnTo>
                                  <a:pt x="2063" y="1694"/>
                                </a:lnTo>
                                <a:lnTo>
                                  <a:pt x="24" y="1694"/>
                                </a:lnTo>
                                <a:lnTo>
                                  <a:pt x="0" y="1694"/>
                                </a:lnTo>
                                <a:lnTo>
                                  <a:pt x="0" y="21"/>
                                </a:lnTo>
                                <a:close/>
                                <a:moveTo>
                                  <a:pt x="24" y="1694"/>
                                </a:moveTo>
                                <a:lnTo>
                                  <a:pt x="24" y="1672"/>
                                </a:lnTo>
                                <a:lnTo>
                                  <a:pt x="2063" y="1672"/>
                                </a:lnTo>
                                <a:lnTo>
                                  <a:pt x="2063" y="1694"/>
                                </a:lnTo>
                                <a:lnTo>
                                  <a:pt x="2063" y="1072"/>
                                </a:lnTo>
                                <a:lnTo>
                                  <a:pt x="2063" y="1050"/>
                                </a:lnTo>
                                <a:lnTo>
                                  <a:pt x="2860" y="1050"/>
                                </a:lnTo>
                                <a:lnTo>
                                  <a:pt x="2860" y="1072"/>
                                </a:lnTo>
                                <a:lnTo>
                                  <a:pt x="2860" y="1265"/>
                                </a:lnTo>
                                <a:lnTo>
                                  <a:pt x="2837" y="1265"/>
                                </a:lnTo>
                                <a:lnTo>
                                  <a:pt x="3165" y="857"/>
                                </a:lnTo>
                                <a:lnTo>
                                  <a:pt x="2837" y="450"/>
                                </a:lnTo>
                                <a:lnTo>
                                  <a:pt x="2860" y="428"/>
                                </a:lnTo>
                                <a:lnTo>
                                  <a:pt x="2860" y="643"/>
                                </a:lnTo>
                                <a:lnTo>
                                  <a:pt x="2860" y="664"/>
                                </a:lnTo>
                                <a:lnTo>
                                  <a:pt x="2063" y="664"/>
                                </a:lnTo>
                                <a:lnTo>
                                  <a:pt x="2063" y="643"/>
                                </a:lnTo>
                                <a:lnTo>
                                  <a:pt x="2063" y="21"/>
                                </a:lnTo>
                                <a:lnTo>
                                  <a:pt x="24" y="21"/>
                                </a:lnTo>
                                <a:lnTo>
                                  <a:pt x="24" y="1694"/>
                                </a:lnTo>
                                <a:close/>
                              </a:path>
                            </a:pathLst>
                          </a:custGeom>
                          <a:solidFill>
                            <a:srgbClr val="385D8A"/>
                          </a:solidFill>
                          <a:ln w="0">
                            <a:solidFill>
                              <a:srgbClr val="385D8A"/>
                            </a:solidFill>
                            <a:round/>
                            <a:headEnd/>
                            <a:tailEnd/>
                          </a:ln>
                        </wps:spPr>
                        <wps:bodyPr rot="0" vert="horz" wrap="square" lIns="91440" tIns="45720" rIns="91440" bIns="45720" anchor="t" anchorCtr="0" upright="1">
                          <a:noAutofit/>
                        </wps:bodyPr>
                      </wps:wsp>
                      <wps:wsp>
                        <wps:cNvPr id="173" name="Freeform 37"/>
                        <wps:cNvSpPr>
                          <a:spLocks noEditPoints="1"/>
                        </wps:cNvSpPr>
                        <wps:spPr bwMode="auto">
                          <a:xfrm>
                            <a:off x="833710" y="2478434"/>
                            <a:ext cx="2024424" cy="503507"/>
                          </a:xfrm>
                          <a:custGeom>
                            <a:avLst/>
                            <a:gdLst>
                              <a:gd name="T0" fmla="*/ 0 w 3188"/>
                              <a:gd name="T1" fmla="*/ 13335 h 793"/>
                              <a:gd name="T2" fmla="*/ 0 w 3188"/>
                              <a:gd name="T3" fmla="*/ 13335 h 793"/>
                              <a:gd name="T4" fmla="*/ 14605 w 3188"/>
                              <a:gd name="T5" fmla="*/ 0 h 793"/>
                              <a:gd name="T6" fmla="*/ 1309370 w 3188"/>
                              <a:gd name="T7" fmla="*/ 0 h 793"/>
                              <a:gd name="T8" fmla="*/ 1324610 w 3188"/>
                              <a:gd name="T9" fmla="*/ 13335 h 793"/>
                              <a:gd name="T10" fmla="*/ 1324610 w 3188"/>
                              <a:gd name="T11" fmla="*/ 13335 h 793"/>
                              <a:gd name="T12" fmla="*/ 1324610 w 3188"/>
                              <a:gd name="T13" fmla="*/ 190500 h 793"/>
                              <a:gd name="T14" fmla="*/ 1309370 w 3188"/>
                              <a:gd name="T15" fmla="*/ 190500 h 793"/>
                              <a:gd name="T16" fmla="*/ 1919605 w 3188"/>
                              <a:gd name="T17" fmla="*/ 190500 h 793"/>
                              <a:gd name="T18" fmla="*/ 1919605 w 3188"/>
                              <a:gd name="T19" fmla="*/ 190500 h 793"/>
                              <a:gd name="T20" fmla="*/ 1919605 w 3188"/>
                              <a:gd name="T21" fmla="*/ 135890 h 793"/>
                              <a:gd name="T22" fmla="*/ 1919605 w 3188"/>
                              <a:gd name="T23" fmla="*/ 135890 h 793"/>
                              <a:gd name="T24" fmla="*/ 1919605 w 3188"/>
                              <a:gd name="T25" fmla="*/ 122555 h 793"/>
                              <a:gd name="T26" fmla="*/ 1919605 w 3188"/>
                              <a:gd name="T27" fmla="*/ 122555 h 793"/>
                              <a:gd name="T28" fmla="*/ 1934845 w 3188"/>
                              <a:gd name="T29" fmla="*/ 135890 h 793"/>
                              <a:gd name="T30" fmla="*/ 2024380 w 3188"/>
                              <a:gd name="T31" fmla="*/ 258445 h 793"/>
                              <a:gd name="T32" fmla="*/ 2024380 w 3188"/>
                              <a:gd name="T33" fmla="*/ 258445 h 793"/>
                              <a:gd name="T34" fmla="*/ 2024380 w 3188"/>
                              <a:gd name="T35" fmla="*/ 258445 h 793"/>
                              <a:gd name="T36" fmla="*/ 1934845 w 3188"/>
                              <a:gd name="T37" fmla="*/ 381000 h 793"/>
                              <a:gd name="T38" fmla="*/ 1919605 w 3188"/>
                              <a:gd name="T39" fmla="*/ 381000 h 793"/>
                              <a:gd name="T40" fmla="*/ 1919605 w 3188"/>
                              <a:gd name="T41" fmla="*/ 381000 h 793"/>
                              <a:gd name="T42" fmla="*/ 1919605 w 3188"/>
                              <a:gd name="T43" fmla="*/ 381000 h 793"/>
                              <a:gd name="T44" fmla="*/ 1919605 w 3188"/>
                              <a:gd name="T45" fmla="*/ 381000 h 793"/>
                              <a:gd name="T46" fmla="*/ 1919605 w 3188"/>
                              <a:gd name="T47" fmla="*/ 313055 h 793"/>
                              <a:gd name="T48" fmla="*/ 1919605 w 3188"/>
                              <a:gd name="T49" fmla="*/ 327025 h 793"/>
                              <a:gd name="T50" fmla="*/ 1309370 w 3188"/>
                              <a:gd name="T51" fmla="*/ 327025 h 793"/>
                              <a:gd name="T52" fmla="*/ 1324610 w 3188"/>
                              <a:gd name="T53" fmla="*/ 313055 h 793"/>
                              <a:gd name="T54" fmla="*/ 1324610 w 3188"/>
                              <a:gd name="T55" fmla="*/ 503555 h 793"/>
                              <a:gd name="T56" fmla="*/ 1324610 w 3188"/>
                              <a:gd name="T57" fmla="*/ 503555 h 793"/>
                              <a:gd name="T58" fmla="*/ 1309370 w 3188"/>
                              <a:gd name="T59" fmla="*/ 503555 h 793"/>
                              <a:gd name="T60" fmla="*/ 14605 w 3188"/>
                              <a:gd name="T61" fmla="*/ 503555 h 793"/>
                              <a:gd name="T62" fmla="*/ 0 w 3188"/>
                              <a:gd name="T63" fmla="*/ 503555 h 793"/>
                              <a:gd name="T64" fmla="*/ 0 w 3188"/>
                              <a:gd name="T65" fmla="*/ 503555 h 793"/>
                              <a:gd name="T66" fmla="*/ 0 w 3188"/>
                              <a:gd name="T67" fmla="*/ 13335 h 793"/>
                              <a:gd name="T68" fmla="*/ 14605 w 3188"/>
                              <a:gd name="T69" fmla="*/ 503555 h 793"/>
                              <a:gd name="T70" fmla="*/ 14605 w 3188"/>
                              <a:gd name="T71" fmla="*/ 490220 h 793"/>
                              <a:gd name="T72" fmla="*/ 1309370 w 3188"/>
                              <a:gd name="T73" fmla="*/ 490220 h 793"/>
                              <a:gd name="T74" fmla="*/ 1309370 w 3188"/>
                              <a:gd name="T75" fmla="*/ 503555 h 793"/>
                              <a:gd name="T76" fmla="*/ 1309370 w 3188"/>
                              <a:gd name="T77" fmla="*/ 313055 h 793"/>
                              <a:gd name="T78" fmla="*/ 1309370 w 3188"/>
                              <a:gd name="T79" fmla="*/ 313055 h 793"/>
                              <a:gd name="T80" fmla="*/ 1309370 w 3188"/>
                              <a:gd name="T81" fmla="*/ 313055 h 793"/>
                              <a:gd name="T82" fmla="*/ 1919605 w 3188"/>
                              <a:gd name="T83" fmla="*/ 313055 h 793"/>
                              <a:gd name="T84" fmla="*/ 1919605 w 3188"/>
                              <a:gd name="T85" fmla="*/ 313055 h 793"/>
                              <a:gd name="T86" fmla="*/ 1934845 w 3188"/>
                              <a:gd name="T87" fmla="*/ 313055 h 793"/>
                              <a:gd name="T88" fmla="*/ 1934845 w 3188"/>
                              <a:gd name="T89" fmla="*/ 381000 h 793"/>
                              <a:gd name="T90" fmla="*/ 1919605 w 3188"/>
                              <a:gd name="T91" fmla="*/ 381000 h 793"/>
                              <a:gd name="T92" fmla="*/ 2009140 w 3188"/>
                              <a:gd name="T93" fmla="*/ 258445 h 793"/>
                              <a:gd name="T94" fmla="*/ 2009140 w 3188"/>
                              <a:gd name="T95" fmla="*/ 258445 h 793"/>
                              <a:gd name="T96" fmla="*/ 1919605 w 3188"/>
                              <a:gd name="T97" fmla="*/ 135890 h 793"/>
                              <a:gd name="T98" fmla="*/ 1934845 w 3188"/>
                              <a:gd name="T99" fmla="*/ 135890 h 793"/>
                              <a:gd name="T100" fmla="*/ 1934845 w 3188"/>
                              <a:gd name="T101" fmla="*/ 190500 h 793"/>
                              <a:gd name="T102" fmla="*/ 1919605 w 3188"/>
                              <a:gd name="T103" fmla="*/ 204470 h 793"/>
                              <a:gd name="T104" fmla="*/ 1919605 w 3188"/>
                              <a:gd name="T105" fmla="*/ 204470 h 793"/>
                              <a:gd name="T106" fmla="*/ 1309370 w 3188"/>
                              <a:gd name="T107" fmla="*/ 204470 h 793"/>
                              <a:gd name="T108" fmla="*/ 1309370 w 3188"/>
                              <a:gd name="T109" fmla="*/ 204470 h 793"/>
                              <a:gd name="T110" fmla="*/ 1309370 w 3188"/>
                              <a:gd name="T111" fmla="*/ 190500 h 793"/>
                              <a:gd name="T112" fmla="*/ 1309370 w 3188"/>
                              <a:gd name="T113" fmla="*/ 13335 h 793"/>
                              <a:gd name="T114" fmla="*/ 1309370 w 3188"/>
                              <a:gd name="T115" fmla="*/ 13335 h 793"/>
                              <a:gd name="T116" fmla="*/ 14605 w 3188"/>
                              <a:gd name="T117" fmla="*/ 13335 h 793"/>
                              <a:gd name="T118" fmla="*/ 14605 w 3188"/>
                              <a:gd name="T119" fmla="*/ 13335 h 793"/>
                              <a:gd name="T120" fmla="*/ 14605 w 3188"/>
                              <a:gd name="T121" fmla="*/ 503555 h 793"/>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3188" h="793">
                                <a:moveTo>
                                  <a:pt x="0" y="21"/>
                                </a:moveTo>
                                <a:lnTo>
                                  <a:pt x="0" y="21"/>
                                </a:lnTo>
                                <a:lnTo>
                                  <a:pt x="23" y="0"/>
                                </a:lnTo>
                                <a:lnTo>
                                  <a:pt x="2062" y="0"/>
                                </a:lnTo>
                                <a:lnTo>
                                  <a:pt x="2086" y="21"/>
                                </a:lnTo>
                                <a:lnTo>
                                  <a:pt x="2086" y="300"/>
                                </a:lnTo>
                                <a:lnTo>
                                  <a:pt x="2062" y="300"/>
                                </a:lnTo>
                                <a:lnTo>
                                  <a:pt x="3023" y="300"/>
                                </a:lnTo>
                                <a:lnTo>
                                  <a:pt x="3023" y="214"/>
                                </a:lnTo>
                                <a:lnTo>
                                  <a:pt x="3023" y="193"/>
                                </a:lnTo>
                                <a:lnTo>
                                  <a:pt x="3047" y="214"/>
                                </a:lnTo>
                                <a:lnTo>
                                  <a:pt x="3188" y="407"/>
                                </a:lnTo>
                                <a:lnTo>
                                  <a:pt x="3047" y="600"/>
                                </a:lnTo>
                                <a:lnTo>
                                  <a:pt x="3023" y="600"/>
                                </a:lnTo>
                                <a:lnTo>
                                  <a:pt x="3023" y="493"/>
                                </a:lnTo>
                                <a:lnTo>
                                  <a:pt x="3023" y="515"/>
                                </a:lnTo>
                                <a:lnTo>
                                  <a:pt x="2062" y="515"/>
                                </a:lnTo>
                                <a:lnTo>
                                  <a:pt x="2086" y="493"/>
                                </a:lnTo>
                                <a:lnTo>
                                  <a:pt x="2086" y="793"/>
                                </a:lnTo>
                                <a:lnTo>
                                  <a:pt x="2062" y="793"/>
                                </a:lnTo>
                                <a:lnTo>
                                  <a:pt x="23" y="793"/>
                                </a:lnTo>
                                <a:lnTo>
                                  <a:pt x="0" y="793"/>
                                </a:lnTo>
                                <a:lnTo>
                                  <a:pt x="0" y="21"/>
                                </a:lnTo>
                                <a:close/>
                                <a:moveTo>
                                  <a:pt x="23" y="793"/>
                                </a:moveTo>
                                <a:lnTo>
                                  <a:pt x="23" y="772"/>
                                </a:lnTo>
                                <a:lnTo>
                                  <a:pt x="2062" y="772"/>
                                </a:lnTo>
                                <a:lnTo>
                                  <a:pt x="2062" y="793"/>
                                </a:lnTo>
                                <a:lnTo>
                                  <a:pt x="2062" y="493"/>
                                </a:lnTo>
                                <a:lnTo>
                                  <a:pt x="3023" y="493"/>
                                </a:lnTo>
                                <a:lnTo>
                                  <a:pt x="3047" y="493"/>
                                </a:lnTo>
                                <a:lnTo>
                                  <a:pt x="3047" y="600"/>
                                </a:lnTo>
                                <a:lnTo>
                                  <a:pt x="3023" y="600"/>
                                </a:lnTo>
                                <a:lnTo>
                                  <a:pt x="3164" y="407"/>
                                </a:lnTo>
                                <a:lnTo>
                                  <a:pt x="3023" y="214"/>
                                </a:lnTo>
                                <a:lnTo>
                                  <a:pt x="3047" y="214"/>
                                </a:lnTo>
                                <a:lnTo>
                                  <a:pt x="3047" y="300"/>
                                </a:lnTo>
                                <a:lnTo>
                                  <a:pt x="3023" y="322"/>
                                </a:lnTo>
                                <a:lnTo>
                                  <a:pt x="2062" y="322"/>
                                </a:lnTo>
                                <a:lnTo>
                                  <a:pt x="2062" y="300"/>
                                </a:lnTo>
                                <a:lnTo>
                                  <a:pt x="2062" y="21"/>
                                </a:lnTo>
                                <a:lnTo>
                                  <a:pt x="23" y="21"/>
                                </a:lnTo>
                                <a:lnTo>
                                  <a:pt x="23" y="793"/>
                                </a:lnTo>
                                <a:close/>
                              </a:path>
                            </a:pathLst>
                          </a:custGeom>
                          <a:solidFill>
                            <a:srgbClr val="385D8A"/>
                          </a:solidFill>
                          <a:ln w="0">
                            <a:solidFill>
                              <a:srgbClr val="385D8A"/>
                            </a:solidFill>
                            <a:round/>
                            <a:headEnd/>
                            <a:tailEnd/>
                          </a:ln>
                        </wps:spPr>
                        <wps:bodyPr rot="0" vert="horz" wrap="square" lIns="91440" tIns="45720" rIns="91440" bIns="45720" anchor="t" anchorCtr="0" upright="1">
                          <a:noAutofit/>
                        </wps:bodyPr>
                      </wps:wsp>
                      <wps:wsp>
                        <wps:cNvPr id="174" name="Freeform 38"/>
                        <wps:cNvSpPr>
                          <a:spLocks noEditPoints="1"/>
                        </wps:cNvSpPr>
                        <wps:spPr bwMode="auto">
                          <a:xfrm>
                            <a:off x="833710" y="3091142"/>
                            <a:ext cx="2024424" cy="503607"/>
                          </a:xfrm>
                          <a:custGeom>
                            <a:avLst/>
                            <a:gdLst>
                              <a:gd name="T0" fmla="*/ 0 w 3188"/>
                              <a:gd name="T1" fmla="*/ 13335 h 793"/>
                              <a:gd name="T2" fmla="*/ 0 w 3188"/>
                              <a:gd name="T3" fmla="*/ 13335 h 793"/>
                              <a:gd name="T4" fmla="*/ 14605 w 3188"/>
                              <a:gd name="T5" fmla="*/ 0 h 793"/>
                              <a:gd name="T6" fmla="*/ 1309370 w 3188"/>
                              <a:gd name="T7" fmla="*/ 0 h 793"/>
                              <a:gd name="T8" fmla="*/ 1324610 w 3188"/>
                              <a:gd name="T9" fmla="*/ 13335 h 793"/>
                              <a:gd name="T10" fmla="*/ 1324610 w 3188"/>
                              <a:gd name="T11" fmla="*/ 13335 h 793"/>
                              <a:gd name="T12" fmla="*/ 1324610 w 3188"/>
                              <a:gd name="T13" fmla="*/ 190500 h 793"/>
                              <a:gd name="T14" fmla="*/ 1309370 w 3188"/>
                              <a:gd name="T15" fmla="*/ 190500 h 793"/>
                              <a:gd name="T16" fmla="*/ 1919605 w 3188"/>
                              <a:gd name="T17" fmla="*/ 190500 h 793"/>
                              <a:gd name="T18" fmla="*/ 1919605 w 3188"/>
                              <a:gd name="T19" fmla="*/ 190500 h 793"/>
                              <a:gd name="T20" fmla="*/ 1919605 w 3188"/>
                              <a:gd name="T21" fmla="*/ 135890 h 793"/>
                              <a:gd name="T22" fmla="*/ 1919605 w 3188"/>
                              <a:gd name="T23" fmla="*/ 135890 h 793"/>
                              <a:gd name="T24" fmla="*/ 1919605 w 3188"/>
                              <a:gd name="T25" fmla="*/ 122555 h 793"/>
                              <a:gd name="T26" fmla="*/ 1919605 w 3188"/>
                              <a:gd name="T27" fmla="*/ 122555 h 793"/>
                              <a:gd name="T28" fmla="*/ 1934845 w 3188"/>
                              <a:gd name="T29" fmla="*/ 135890 h 793"/>
                              <a:gd name="T30" fmla="*/ 2024380 w 3188"/>
                              <a:gd name="T31" fmla="*/ 258445 h 793"/>
                              <a:gd name="T32" fmla="*/ 2024380 w 3188"/>
                              <a:gd name="T33" fmla="*/ 258445 h 793"/>
                              <a:gd name="T34" fmla="*/ 2024380 w 3188"/>
                              <a:gd name="T35" fmla="*/ 258445 h 793"/>
                              <a:gd name="T36" fmla="*/ 1934845 w 3188"/>
                              <a:gd name="T37" fmla="*/ 381000 h 793"/>
                              <a:gd name="T38" fmla="*/ 1919605 w 3188"/>
                              <a:gd name="T39" fmla="*/ 381000 h 793"/>
                              <a:gd name="T40" fmla="*/ 1919605 w 3188"/>
                              <a:gd name="T41" fmla="*/ 381000 h 793"/>
                              <a:gd name="T42" fmla="*/ 1919605 w 3188"/>
                              <a:gd name="T43" fmla="*/ 381000 h 793"/>
                              <a:gd name="T44" fmla="*/ 1919605 w 3188"/>
                              <a:gd name="T45" fmla="*/ 381000 h 793"/>
                              <a:gd name="T46" fmla="*/ 1919605 w 3188"/>
                              <a:gd name="T47" fmla="*/ 313055 h 793"/>
                              <a:gd name="T48" fmla="*/ 1919605 w 3188"/>
                              <a:gd name="T49" fmla="*/ 327025 h 793"/>
                              <a:gd name="T50" fmla="*/ 1309370 w 3188"/>
                              <a:gd name="T51" fmla="*/ 327025 h 793"/>
                              <a:gd name="T52" fmla="*/ 1324610 w 3188"/>
                              <a:gd name="T53" fmla="*/ 313055 h 793"/>
                              <a:gd name="T54" fmla="*/ 1324610 w 3188"/>
                              <a:gd name="T55" fmla="*/ 503555 h 793"/>
                              <a:gd name="T56" fmla="*/ 1324610 w 3188"/>
                              <a:gd name="T57" fmla="*/ 503555 h 793"/>
                              <a:gd name="T58" fmla="*/ 1309370 w 3188"/>
                              <a:gd name="T59" fmla="*/ 503555 h 793"/>
                              <a:gd name="T60" fmla="*/ 14605 w 3188"/>
                              <a:gd name="T61" fmla="*/ 503555 h 793"/>
                              <a:gd name="T62" fmla="*/ 0 w 3188"/>
                              <a:gd name="T63" fmla="*/ 503555 h 793"/>
                              <a:gd name="T64" fmla="*/ 0 w 3188"/>
                              <a:gd name="T65" fmla="*/ 503555 h 793"/>
                              <a:gd name="T66" fmla="*/ 0 w 3188"/>
                              <a:gd name="T67" fmla="*/ 13335 h 793"/>
                              <a:gd name="T68" fmla="*/ 14605 w 3188"/>
                              <a:gd name="T69" fmla="*/ 503555 h 793"/>
                              <a:gd name="T70" fmla="*/ 14605 w 3188"/>
                              <a:gd name="T71" fmla="*/ 490220 h 793"/>
                              <a:gd name="T72" fmla="*/ 1309370 w 3188"/>
                              <a:gd name="T73" fmla="*/ 490220 h 793"/>
                              <a:gd name="T74" fmla="*/ 1309370 w 3188"/>
                              <a:gd name="T75" fmla="*/ 503555 h 793"/>
                              <a:gd name="T76" fmla="*/ 1309370 w 3188"/>
                              <a:gd name="T77" fmla="*/ 313055 h 793"/>
                              <a:gd name="T78" fmla="*/ 1309370 w 3188"/>
                              <a:gd name="T79" fmla="*/ 313055 h 793"/>
                              <a:gd name="T80" fmla="*/ 1309370 w 3188"/>
                              <a:gd name="T81" fmla="*/ 313055 h 793"/>
                              <a:gd name="T82" fmla="*/ 1919605 w 3188"/>
                              <a:gd name="T83" fmla="*/ 313055 h 793"/>
                              <a:gd name="T84" fmla="*/ 1919605 w 3188"/>
                              <a:gd name="T85" fmla="*/ 313055 h 793"/>
                              <a:gd name="T86" fmla="*/ 1934845 w 3188"/>
                              <a:gd name="T87" fmla="*/ 313055 h 793"/>
                              <a:gd name="T88" fmla="*/ 1934845 w 3188"/>
                              <a:gd name="T89" fmla="*/ 381000 h 793"/>
                              <a:gd name="T90" fmla="*/ 1919605 w 3188"/>
                              <a:gd name="T91" fmla="*/ 381000 h 793"/>
                              <a:gd name="T92" fmla="*/ 2009140 w 3188"/>
                              <a:gd name="T93" fmla="*/ 258445 h 793"/>
                              <a:gd name="T94" fmla="*/ 2009140 w 3188"/>
                              <a:gd name="T95" fmla="*/ 258445 h 793"/>
                              <a:gd name="T96" fmla="*/ 1919605 w 3188"/>
                              <a:gd name="T97" fmla="*/ 135890 h 793"/>
                              <a:gd name="T98" fmla="*/ 1934845 w 3188"/>
                              <a:gd name="T99" fmla="*/ 135890 h 793"/>
                              <a:gd name="T100" fmla="*/ 1934845 w 3188"/>
                              <a:gd name="T101" fmla="*/ 190500 h 793"/>
                              <a:gd name="T102" fmla="*/ 1919605 w 3188"/>
                              <a:gd name="T103" fmla="*/ 204470 h 793"/>
                              <a:gd name="T104" fmla="*/ 1919605 w 3188"/>
                              <a:gd name="T105" fmla="*/ 204470 h 793"/>
                              <a:gd name="T106" fmla="*/ 1309370 w 3188"/>
                              <a:gd name="T107" fmla="*/ 204470 h 793"/>
                              <a:gd name="T108" fmla="*/ 1309370 w 3188"/>
                              <a:gd name="T109" fmla="*/ 204470 h 793"/>
                              <a:gd name="T110" fmla="*/ 1309370 w 3188"/>
                              <a:gd name="T111" fmla="*/ 190500 h 793"/>
                              <a:gd name="T112" fmla="*/ 1309370 w 3188"/>
                              <a:gd name="T113" fmla="*/ 13335 h 793"/>
                              <a:gd name="T114" fmla="*/ 1309370 w 3188"/>
                              <a:gd name="T115" fmla="*/ 13335 h 793"/>
                              <a:gd name="T116" fmla="*/ 14605 w 3188"/>
                              <a:gd name="T117" fmla="*/ 13335 h 793"/>
                              <a:gd name="T118" fmla="*/ 14605 w 3188"/>
                              <a:gd name="T119" fmla="*/ 13335 h 793"/>
                              <a:gd name="T120" fmla="*/ 14605 w 3188"/>
                              <a:gd name="T121" fmla="*/ 503555 h 793"/>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3188" h="793">
                                <a:moveTo>
                                  <a:pt x="0" y="21"/>
                                </a:moveTo>
                                <a:lnTo>
                                  <a:pt x="0" y="21"/>
                                </a:lnTo>
                                <a:lnTo>
                                  <a:pt x="23" y="0"/>
                                </a:lnTo>
                                <a:lnTo>
                                  <a:pt x="2062" y="0"/>
                                </a:lnTo>
                                <a:lnTo>
                                  <a:pt x="2086" y="21"/>
                                </a:lnTo>
                                <a:lnTo>
                                  <a:pt x="2086" y="300"/>
                                </a:lnTo>
                                <a:lnTo>
                                  <a:pt x="2062" y="300"/>
                                </a:lnTo>
                                <a:lnTo>
                                  <a:pt x="3023" y="300"/>
                                </a:lnTo>
                                <a:lnTo>
                                  <a:pt x="3023" y="214"/>
                                </a:lnTo>
                                <a:lnTo>
                                  <a:pt x="3023" y="193"/>
                                </a:lnTo>
                                <a:lnTo>
                                  <a:pt x="3047" y="214"/>
                                </a:lnTo>
                                <a:lnTo>
                                  <a:pt x="3188" y="407"/>
                                </a:lnTo>
                                <a:lnTo>
                                  <a:pt x="3047" y="600"/>
                                </a:lnTo>
                                <a:lnTo>
                                  <a:pt x="3023" y="600"/>
                                </a:lnTo>
                                <a:lnTo>
                                  <a:pt x="3023" y="493"/>
                                </a:lnTo>
                                <a:lnTo>
                                  <a:pt x="3023" y="515"/>
                                </a:lnTo>
                                <a:lnTo>
                                  <a:pt x="2062" y="515"/>
                                </a:lnTo>
                                <a:lnTo>
                                  <a:pt x="2086" y="493"/>
                                </a:lnTo>
                                <a:lnTo>
                                  <a:pt x="2086" y="793"/>
                                </a:lnTo>
                                <a:lnTo>
                                  <a:pt x="2062" y="793"/>
                                </a:lnTo>
                                <a:lnTo>
                                  <a:pt x="23" y="793"/>
                                </a:lnTo>
                                <a:lnTo>
                                  <a:pt x="0" y="793"/>
                                </a:lnTo>
                                <a:lnTo>
                                  <a:pt x="0" y="21"/>
                                </a:lnTo>
                                <a:close/>
                                <a:moveTo>
                                  <a:pt x="23" y="793"/>
                                </a:moveTo>
                                <a:lnTo>
                                  <a:pt x="23" y="772"/>
                                </a:lnTo>
                                <a:lnTo>
                                  <a:pt x="2062" y="772"/>
                                </a:lnTo>
                                <a:lnTo>
                                  <a:pt x="2062" y="793"/>
                                </a:lnTo>
                                <a:lnTo>
                                  <a:pt x="2062" y="493"/>
                                </a:lnTo>
                                <a:lnTo>
                                  <a:pt x="3023" y="493"/>
                                </a:lnTo>
                                <a:lnTo>
                                  <a:pt x="3047" y="493"/>
                                </a:lnTo>
                                <a:lnTo>
                                  <a:pt x="3047" y="600"/>
                                </a:lnTo>
                                <a:lnTo>
                                  <a:pt x="3023" y="600"/>
                                </a:lnTo>
                                <a:lnTo>
                                  <a:pt x="3164" y="407"/>
                                </a:lnTo>
                                <a:lnTo>
                                  <a:pt x="3023" y="214"/>
                                </a:lnTo>
                                <a:lnTo>
                                  <a:pt x="3047" y="214"/>
                                </a:lnTo>
                                <a:lnTo>
                                  <a:pt x="3047" y="300"/>
                                </a:lnTo>
                                <a:lnTo>
                                  <a:pt x="3023" y="322"/>
                                </a:lnTo>
                                <a:lnTo>
                                  <a:pt x="2062" y="322"/>
                                </a:lnTo>
                                <a:lnTo>
                                  <a:pt x="2062" y="300"/>
                                </a:lnTo>
                                <a:lnTo>
                                  <a:pt x="2062" y="21"/>
                                </a:lnTo>
                                <a:lnTo>
                                  <a:pt x="23" y="21"/>
                                </a:lnTo>
                                <a:lnTo>
                                  <a:pt x="23" y="793"/>
                                </a:lnTo>
                                <a:close/>
                              </a:path>
                            </a:pathLst>
                          </a:custGeom>
                          <a:solidFill>
                            <a:srgbClr val="385D8A"/>
                          </a:solidFill>
                          <a:ln w="0">
                            <a:solidFill>
                              <a:srgbClr val="385D8A"/>
                            </a:solidFill>
                            <a:round/>
                            <a:headEnd/>
                            <a:tailEnd/>
                          </a:ln>
                        </wps:spPr>
                        <wps:bodyPr rot="0" vert="horz" wrap="square" lIns="91440" tIns="45720" rIns="91440" bIns="45720" anchor="t" anchorCtr="0" upright="1">
                          <a:noAutofit/>
                        </wps:bodyPr>
                      </wps:wsp>
                      <wps:wsp>
                        <wps:cNvPr id="175" name="Rectangle 39"/>
                        <wps:cNvSpPr>
                          <a:spLocks noChangeArrowheads="1"/>
                        </wps:cNvSpPr>
                        <wps:spPr bwMode="auto">
                          <a:xfrm>
                            <a:off x="535906" y="544728"/>
                            <a:ext cx="192976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F2624" w14:textId="77777777" w:rsidR="00DF20A2" w:rsidRDefault="00DF20A2" w:rsidP="00426A6F">
                              <w:r>
                                <w:rPr>
                                  <w:rFonts w:ascii="Calibri" w:hAnsi="Calibri" w:cs="Calibri"/>
                                  <w:color w:val="000000"/>
                                  <w:sz w:val="20"/>
                                  <w:szCs w:val="20"/>
                                </w:rPr>
                                <w:t>Contributions due by the current Law</w:t>
                              </w:r>
                            </w:p>
                          </w:txbxContent>
                        </wps:txbx>
                        <wps:bodyPr rot="0" vert="horz" wrap="none" lIns="0" tIns="0" rIns="0" bIns="0" anchor="t" anchorCtr="0" upright="1">
                          <a:spAutoFit/>
                        </wps:bodyPr>
                      </wps:wsp>
                      <wps:wsp>
                        <wps:cNvPr id="176" name="Rectangle 40"/>
                        <wps:cNvSpPr>
                          <a:spLocks noChangeArrowheads="1"/>
                        </wps:cNvSpPr>
                        <wps:spPr bwMode="auto">
                          <a:xfrm>
                            <a:off x="952511" y="830390"/>
                            <a:ext cx="70993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7061D4" w14:textId="77777777" w:rsidR="00DF20A2" w:rsidRDefault="00DF20A2" w:rsidP="00426A6F">
                              <w:r>
                                <w:rPr>
                                  <w:rFonts w:ascii="Calibri" w:hAnsi="Calibri" w:cs="Calibri"/>
                                  <w:color w:val="000000"/>
                                  <w:sz w:val="18"/>
                                  <w:szCs w:val="18"/>
                                </w:rPr>
                                <w:t xml:space="preserve">22.5 percent of </w:t>
                              </w:r>
                            </w:p>
                          </w:txbxContent>
                        </wps:txbx>
                        <wps:bodyPr rot="0" vert="horz" wrap="none" lIns="0" tIns="0" rIns="0" bIns="0" anchor="t" anchorCtr="0" upright="1">
                          <a:spAutoFit/>
                        </wps:bodyPr>
                      </wps:wsp>
                      <wps:wsp>
                        <wps:cNvPr id="177" name="Rectangle 41"/>
                        <wps:cNvSpPr>
                          <a:spLocks noChangeArrowheads="1"/>
                        </wps:cNvSpPr>
                        <wps:spPr bwMode="auto">
                          <a:xfrm>
                            <a:off x="1116313" y="966273"/>
                            <a:ext cx="41211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ADD4E3" w14:textId="77777777" w:rsidR="00DF20A2" w:rsidRDefault="00DF20A2" w:rsidP="00426A6F">
                              <w:r>
                                <w:rPr>
                                  <w:rFonts w:ascii="Calibri" w:hAnsi="Calibri" w:cs="Calibri"/>
                                  <w:color w:val="000000"/>
                                  <w:sz w:val="18"/>
                                  <w:szCs w:val="18"/>
                                </w:rPr>
                                <w:t>wage bill</w:t>
                              </w:r>
                            </w:p>
                          </w:txbxContent>
                        </wps:txbx>
                        <wps:bodyPr rot="0" vert="horz" wrap="none" lIns="0" tIns="0" rIns="0" bIns="0" anchor="t" anchorCtr="0" upright="1">
                          <a:spAutoFit/>
                        </wps:bodyPr>
                      </wps:wsp>
                      <wps:wsp>
                        <wps:cNvPr id="178" name="Rectangle 42"/>
                        <wps:cNvSpPr>
                          <a:spLocks noChangeArrowheads="1"/>
                        </wps:cNvSpPr>
                        <wps:spPr bwMode="auto">
                          <a:xfrm>
                            <a:off x="1056613" y="1524400"/>
                            <a:ext cx="74231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906848" w14:textId="77777777" w:rsidR="00DF20A2" w:rsidRDefault="00DF20A2" w:rsidP="00426A6F">
                              <w:r>
                                <w:rPr>
                                  <w:rFonts w:ascii="Calibri" w:hAnsi="Calibri" w:cs="Calibri"/>
                                  <w:color w:val="000000"/>
                                  <w:sz w:val="18"/>
                                  <w:szCs w:val="18"/>
                                </w:rPr>
                                <w:t xml:space="preserve">Civil service and </w:t>
                              </w:r>
                            </w:p>
                          </w:txbxContent>
                        </wps:txbx>
                        <wps:bodyPr rot="0" vert="horz" wrap="none" lIns="0" tIns="0" rIns="0" bIns="0" anchor="t" anchorCtr="0" upright="1">
                          <a:spAutoFit/>
                        </wps:bodyPr>
                      </wps:wsp>
                      <wps:wsp>
                        <wps:cNvPr id="179" name="Rectangle 43"/>
                        <wps:cNvSpPr>
                          <a:spLocks noChangeArrowheads="1"/>
                        </wps:cNvSpPr>
                        <wps:spPr bwMode="auto">
                          <a:xfrm>
                            <a:off x="1056613" y="1661122"/>
                            <a:ext cx="76898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87A7F8" w14:textId="77777777" w:rsidR="00DF20A2" w:rsidRDefault="00DF20A2" w:rsidP="00426A6F">
                              <w:r>
                                <w:rPr>
                                  <w:rFonts w:ascii="Calibri" w:hAnsi="Calibri" w:cs="Calibri"/>
                                  <w:color w:val="000000"/>
                                  <w:sz w:val="18"/>
                                  <w:szCs w:val="18"/>
                                </w:rPr>
                                <w:t>Security services</w:t>
                              </w:r>
                            </w:p>
                          </w:txbxContent>
                        </wps:txbx>
                        <wps:bodyPr rot="0" vert="horz" wrap="none" lIns="0" tIns="0" rIns="0" bIns="0" anchor="t" anchorCtr="0" upright="1">
                          <a:spAutoFit/>
                        </wps:bodyPr>
                      </wps:wsp>
                      <wps:wsp>
                        <wps:cNvPr id="180" name="Rectangle 44"/>
                        <wps:cNvSpPr>
                          <a:spLocks noChangeArrowheads="1"/>
                        </wps:cNvSpPr>
                        <wps:spPr bwMode="auto">
                          <a:xfrm>
                            <a:off x="1012112" y="1783723"/>
                            <a:ext cx="89598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9FEA46" w14:textId="77777777" w:rsidR="00DF20A2" w:rsidRDefault="00DF20A2" w:rsidP="00426A6F">
                              <w:r>
                                <w:rPr>
                                  <w:rFonts w:ascii="Calibri" w:hAnsi="Calibri" w:cs="Calibri"/>
                                  <w:color w:val="000000"/>
                                  <w:sz w:val="18"/>
                                  <w:szCs w:val="18"/>
                                </w:rPr>
                                <w:t xml:space="preserve">16 percent of wage </w:t>
                              </w:r>
                            </w:p>
                          </w:txbxContent>
                        </wps:txbx>
                        <wps:bodyPr rot="0" vert="horz" wrap="none" lIns="0" tIns="0" rIns="0" bIns="0" anchor="t" anchorCtr="0" upright="1">
                          <a:spAutoFit/>
                        </wps:bodyPr>
                      </wps:wsp>
                      <wps:wsp>
                        <wps:cNvPr id="181" name="Rectangle 45"/>
                        <wps:cNvSpPr>
                          <a:spLocks noChangeArrowheads="1"/>
                        </wps:cNvSpPr>
                        <wps:spPr bwMode="auto">
                          <a:xfrm>
                            <a:off x="1071813" y="1919349"/>
                            <a:ext cx="74295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25F0C0" w14:textId="77777777" w:rsidR="00DF20A2" w:rsidRDefault="00DF20A2" w:rsidP="00426A6F">
                              <w:r>
                                <w:rPr>
                                  <w:rFonts w:ascii="Calibri" w:hAnsi="Calibri" w:cs="Calibri"/>
                                  <w:color w:val="000000"/>
                                  <w:sz w:val="18"/>
                                  <w:szCs w:val="18"/>
                                </w:rPr>
                                <w:t xml:space="preserve">bill for DB and 6 </w:t>
                              </w:r>
                            </w:p>
                          </w:txbxContent>
                        </wps:txbx>
                        <wps:bodyPr rot="0" vert="horz" wrap="none" lIns="0" tIns="0" rIns="0" bIns="0" anchor="t" anchorCtr="0" upright="1">
                          <a:spAutoFit/>
                        </wps:bodyPr>
                      </wps:wsp>
                      <wps:wsp>
                        <wps:cNvPr id="182" name="Rectangle 46"/>
                        <wps:cNvSpPr>
                          <a:spLocks noChangeArrowheads="1"/>
                        </wps:cNvSpPr>
                        <wps:spPr bwMode="auto">
                          <a:xfrm>
                            <a:off x="1086413" y="2056124"/>
                            <a:ext cx="67881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90D424" w14:textId="77777777" w:rsidR="00DF20A2" w:rsidRDefault="00DF20A2" w:rsidP="00426A6F">
                              <w:r>
                                <w:rPr>
                                  <w:rFonts w:ascii="Calibri" w:hAnsi="Calibri" w:cs="Calibri"/>
                                  <w:color w:val="000000"/>
                                  <w:sz w:val="18"/>
                                  <w:szCs w:val="18"/>
                                </w:rPr>
                                <w:t xml:space="preserve">percent for DC </w:t>
                              </w:r>
                            </w:p>
                          </w:txbxContent>
                        </wps:txbx>
                        <wps:bodyPr rot="0" vert="horz" wrap="none" lIns="0" tIns="0" rIns="0" bIns="0" anchor="t" anchorCtr="0" upright="1">
                          <a:spAutoFit/>
                        </wps:bodyPr>
                      </wps:wsp>
                      <wps:wsp>
                        <wps:cNvPr id="183" name="Rectangle 47"/>
                        <wps:cNvSpPr>
                          <a:spLocks noChangeArrowheads="1"/>
                        </wps:cNvSpPr>
                        <wps:spPr bwMode="auto">
                          <a:xfrm>
                            <a:off x="1042012" y="2586561"/>
                            <a:ext cx="70993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F9DAA3" w14:textId="77777777" w:rsidR="00DF20A2" w:rsidRDefault="00DF20A2" w:rsidP="00426A6F">
                              <w:r>
                                <w:rPr>
                                  <w:rFonts w:ascii="Calibri" w:hAnsi="Calibri" w:cs="Calibri"/>
                                  <w:color w:val="000000"/>
                                  <w:sz w:val="18"/>
                                  <w:szCs w:val="18"/>
                                </w:rPr>
                                <w:t xml:space="preserve">22.5 percent of </w:t>
                              </w:r>
                            </w:p>
                          </w:txbxContent>
                        </wps:txbx>
                        <wps:bodyPr rot="0" vert="horz" wrap="none" lIns="0" tIns="0" rIns="0" bIns="0" anchor="t" anchorCtr="0" upright="1">
                          <a:spAutoFit/>
                        </wps:bodyPr>
                      </wps:wsp>
                      <wps:wsp>
                        <wps:cNvPr id="184" name="Rectangle 48"/>
                        <wps:cNvSpPr>
                          <a:spLocks noChangeArrowheads="1"/>
                        </wps:cNvSpPr>
                        <wps:spPr bwMode="auto">
                          <a:xfrm>
                            <a:off x="1205814" y="2722443"/>
                            <a:ext cx="4318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4A7F5F" w14:textId="77777777" w:rsidR="00DF20A2" w:rsidRDefault="00DF20A2" w:rsidP="00426A6F">
                              <w:r>
                                <w:rPr>
                                  <w:rFonts w:ascii="Calibri" w:hAnsi="Calibri" w:cs="Calibri"/>
                                  <w:color w:val="000000"/>
                                  <w:sz w:val="18"/>
                                  <w:szCs w:val="18"/>
                                </w:rPr>
                                <w:t>Wage bill</w:t>
                              </w:r>
                            </w:p>
                          </w:txbxContent>
                        </wps:txbx>
                        <wps:bodyPr rot="0" vert="horz" wrap="none" lIns="0" tIns="0" rIns="0" bIns="0" anchor="t" anchorCtr="0" upright="1">
                          <a:spAutoFit/>
                        </wps:bodyPr>
                      </wps:wsp>
                      <wps:wsp>
                        <wps:cNvPr id="185" name="Rectangle 49"/>
                        <wps:cNvSpPr>
                          <a:spLocks noChangeArrowheads="1"/>
                        </wps:cNvSpPr>
                        <wps:spPr bwMode="auto">
                          <a:xfrm>
                            <a:off x="1220415" y="3199742"/>
                            <a:ext cx="56515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8A797B" w14:textId="77777777" w:rsidR="00DF20A2" w:rsidRDefault="00DF20A2" w:rsidP="00426A6F">
                              <w:r>
                                <w:rPr>
                                  <w:rFonts w:ascii="Calibri" w:hAnsi="Calibri" w:cs="Calibri"/>
                                  <w:color w:val="000000"/>
                                  <w:sz w:val="18"/>
                                  <w:szCs w:val="18"/>
                                </w:rPr>
                                <w:t xml:space="preserve">2 percent of </w:t>
                              </w:r>
                            </w:p>
                          </w:txbxContent>
                        </wps:txbx>
                        <wps:bodyPr rot="0" vert="horz" wrap="none" lIns="0" tIns="0" rIns="0" bIns="0" anchor="t" anchorCtr="0" upright="1">
                          <a:spAutoFit/>
                        </wps:bodyPr>
                      </wps:wsp>
                      <wps:wsp>
                        <wps:cNvPr id="186" name="Rectangle 50"/>
                        <wps:cNvSpPr>
                          <a:spLocks noChangeArrowheads="1"/>
                        </wps:cNvSpPr>
                        <wps:spPr bwMode="auto">
                          <a:xfrm>
                            <a:off x="1294715" y="3335162"/>
                            <a:ext cx="4318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4A17D6" w14:textId="77777777" w:rsidR="00DF20A2" w:rsidRDefault="00DF20A2" w:rsidP="00426A6F">
                              <w:r>
                                <w:rPr>
                                  <w:rFonts w:ascii="Calibri" w:hAnsi="Calibri" w:cs="Calibri"/>
                                  <w:color w:val="000000"/>
                                  <w:sz w:val="18"/>
                                  <w:szCs w:val="18"/>
                                </w:rPr>
                                <w:t>Wage bill</w:t>
                              </w:r>
                            </w:p>
                          </w:txbxContent>
                        </wps:txbx>
                        <wps:bodyPr rot="0" vert="horz" wrap="none" lIns="0" tIns="0" rIns="0" bIns="0" anchor="t" anchorCtr="0" upright="1">
                          <a:spAutoFit/>
                        </wps:bodyPr>
                      </wps:wsp>
                    </wpc:wpc>
                  </a:graphicData>
                </a:graphic>
              </wp:inline>
            </w:drawing>
          </mc:Choice>
          <mc:Fallback>
            <w:pict>
              <v:group w14:anchorId="7DEE60FD" id="Canvas 5" o:spid="_x0000_s1026" editas="canvas" style="width:487.3pt;height:302.85pt;mso-position-horizontal-relative:char;mso-position-vertical-relative:line" coordsize="61887,38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887;height:38461;visibility:visible;mso-wrap-style:square">
                  <v:fill o:detectmouseclick="t"/>
                  <v:path o:connecttype="none"/>
                </v:shape>
                <v:rect id="Rectangle 6" o:spid="_x0000_s1028" style="position:absolute;top:5563;width:54502;height:28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kf88IA&#10;AADcAAAADwAAAGRycy9kb3ducmV2LnhtbERPTWvCQBC9C/6HZQRvumuNoaZuQhEEofVQLXgdsmMS&#10;mp2N2VXTf98tFHqbx/ucTTHYVtyp941jDYu5AkFcOtNwpeHztJs9g/AB2WDrmDR8k4ciH482mBn3&#10;4A+6H0MlYgj7DDXUIXSZlL6syaKfu444chfXWwwR9pU0PT5iuG3lk1KptNhwbKixo21N5dfxZjVg&#10;mpjr4bJ8P73dUlxXg9qtzkrr6WR4fQERaAj/4j/33sT5SQK/z8QLZ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WR/zwgAAANwAAAAPAAAAAAAAAAAAAAAAAJgCAABkcnMvZG93&#10;bnJldi54bWxQSwUGAAAAAAQABAD1AAAAhwMAAAAA&#10;" stroked="f"/>
                <v:rect id="Rectangle 7" o:spid="_x0000_s1029" style="position:absolute;left:30365;top:5852;width:1702;height:23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rsidR="00DF20A2" w:rsidRDefault="00DF20A2" w:rsidP="00426A6F">
                        <w:r>
                          <w:rPr>
                            <w:rFonts w:ascii="Calibri" w:hAnsi="Calibri" w:cs="Calibri"/>
                            <w:b/>
                            <w:bCs/>
                            <w:color w:val="000000"/>
                            <w:sz w:val="16"/>
                            <w:szCs w:val="16"/>
                          </w:rPr>
                          <w:t>PPA</w:t>
                        </w:r>
                      </w:p>
                    </w:txbxContent>
                  </v:textbox>
                </v:rect>
                <v:rect id="Rectangle 8" o:spid="_x0000_s1030" style="position:absolute;left:46437;top:5850;width:1702;height:23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Q7wb4A&#10;AADcAAAADwAAAGRycy9kb3ducmV2LnhtbERP24rCMBB9X/Afwgi+raki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7UO8G+AAAA3AAAAA8AAAAAAAAAAAAAAAAAmAIAAGRycy9kb3ducmV2&#10;LnhtbFBLBQYAAAAABAAEAPUAAACDAwAAAAA=&#10;" filled="f" stroked="f">
                  <v:textbox style="mso-fit-shape-to-text:t" inset="0,0,0,0">
                    <w:txbxContent>
                      <w:p w:rsidR="00DF20A2" w:rsidRDefault="00DF20A2" w:rsidP="00426A6F">
                        <w:r>
                          <w:rPr>
                            <w:rFonts w:ascii="Calibri" w:hAnsi="Calibri" w:cs="Calibri"/>
                            <w:b/>
                            <w:bCs/>
                            <w:color w:val="000000"/>
                            <w:sz w:val="16"/>
                            <w:szCs w:val="16"/>
                          </w:rPr>
                          <w:t xml:space="preserve">PPA </w:t>
                        </w:r>
                      </w:p>
                    </w:txbxContent>
                  </v:textbox>
                </v:rect>
                <v:rect id="Rectangle 9" o:spid="_x0000_s1031" style="position:absolute;left:30365;top:6944;width:2699;height:235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ieWr8A&#10;AADcAAAADwAAAGRycy9kb3ducmV2LnhtbERP24rCMBB9F/yHMIJvmiqy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mJ5avwAAANwAAAAPAAAAAAAAAAAAAAAAAJgCAABkcnMvZG93bnJl&#10;di54bWxQSwUGAAAAAAQABAD1AAAAhAMAAAAA&#10;" filled="f" stroked="f">
                  <v:textbox style="mso-fit-shape-to-text:t" inset="0,0,0,0">
                    <w:txbxContent>
                      <w:p w:rsidR="00DF20A2" w:rsidRDefault="00DF20A2" w:rsidP="00426A6F">
                        <w:r>
                          <w:rPr>
                            <w:rFonts w:ascii="Calibri" w:hAnsi="Calibri" w:cs="Calibri"/>
                            <w:b/>
                            <w:bCs/>
                            <w:color w:val="000000"/>
                            <w:sz w:val="16"/>
                            <w:szCs w:val="16"/>
                          </w:rPr>
                          <w:t>(2009)</w:t>
                        </w:r>
                      </w:p>
                    </w:txbxContent>
                  </v:textbox>
                </v:rect>
                <v:rect id="Rectangle 10" o:spid="_x0000_s1032" style="position:absolute;left:46437;top:6942;width:2699;height:235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cKKM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cKKMMAAADcAAAADwAAAAAAAAAAAAAAAACYAgAAZHJzL2Rv&#10;d25yZXYueG1sUEsFBgAAAAAEAAQA9QAAAIgDAAAAAA==&#10;" filled="f" stroked="f">
                  <v:textbox style="mso-fit-shape-to-text:t" inset="0,0,0,0">
                    <w:txbxContent>
                      <w:p w:rsidR="00DF20A2" w:rsidRDefault="00DF20A2" w:rsidP="00426A6F">
                        <w:r>
                          <w:rPr>
                            <w:rFonts w:ascii="Calibri" w:hAnsi="Calibri" w:cs="Calibri"/>
                            <w:b/>
                            <w:bCs/>
                            <w:color w:val="000000"/>
                            <w:sz w:val="16"/>
                            <w:szCs w:val="16"/>
                          </w:rPr>
                          <w:t>(2013)</w:t>
                        </w:r>
                      </w:p>
                    </w:txbxContent>
                  </v:textbox>
                </v:rect>
                <v:rect id="Rectangle 11" o:spid="_x0000_s1033" style="position:absolute;left:30365;top:9255;width:6598;height:23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rsidR="00DF20A2" w:rsidRDefault="00DF20A2" w:rsidP="00426A6F">
                        <w:r>
                          <w:rPr>
                            <w:rFonts w:ascii="Calibri" w:hAnsi="Calibri" w:cs="Calibri"/>
                            <w:color w:val="000000"/>
                            <w:sz w:val="16"/>
                            <w:szCs w:val="16"/>
                          </w:rPr>
                          <w:t xml:space="preserve">Only 10 percent </w:t>
                        </w:r>
                      </w:p>
                    </w:txbxContent>
                  </v:textbox>
                </v:rect>
                <v:rect id="Rectangle 12" o:spid="_x0000_s1034" style="position:absolute;left:45783;top:8979;width:12846;height:3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jDV8YA&#10;AADcAAAADwAAAGRycy9kb3ducmV2LnhtbESPQWvCQBCF7wX/wzJCb3Wj0KIxGxFt0WPVgvU2ZKdJ&#10;aHY2ZLcm7a/vHARvM7w3732TrQbXqCt1ofZsYDpJQBEX3tZcGvg4vT3NQYWIbLHxTAZ+KcAqHz1k&#10;mFrf84Gux1gqCeGQooEqxjbVOhQVOQwT3xKL9uU7h1HWrtS2w17CXaNnSfKiHdYsDRW2tKmo+D7+&#10;OAO7ebv+3Pu/vmxeL7vz+3mxPS2iMY/jYb0EFWmId/Ptem8F/1nw5RmZQO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IjDV8YAAADcAAAADwAAAAAAAAAAAAAAAACYAgAAZHJz&#10;L2Rvd25yZXYueG1sUEsFBgAAAAAEAAQA9QAAAIsDAAAAAA==&#10;" filled="f" stroked="f">
                  <v:textbox inset="0,0,0,0">
                    <w:txbxContent>
                      <w:p w:rsidR="00DF20A2" w:rsidRDefault="00DF20A2" w:rsidP="00426A6F">
                        <w:r>
                          <w:rPr>
                            <w:rFonts w:ascii="Calibri" w:hAnsi="Calibri" w:cs="Calibri"/>
                            <w:b/>
                            <w:bCs/>
                            <w:color w:val="0070C0"/>
                            <w:sz w:val="16"/>
                            <w:szCs w:val="16"/>
                          </w:rPr>
                          <w:t>No contributions received since May 2011</w:t>
                        </w:r>
                      </w:p>
                    </w:txbxContent>
                  </v:textbox>
                </v:rect>
                <v:rect id="Rectangle 13" o:spid="_x0000_s1035" style="position:absolute;left:30365;top:10347;width:3530;height:23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rsidR="00DF20A2" w:rsidRDefault="00DF20A2" w:rsidP="00426A6F">
                        <w:proofErr w:type="gramStart"/>
                        <w:r>
                          <w:rPr>
                            <w:rFonts w:ascii="Calibri" w:hAnsi="Calibri" w:cs="Calibri"/>
                            <w:color w:val="000000"/>
                            <w:sz w:val="16"/>
                            <w:szCs w:val="16"/>
                          </w:rPr>
                          <w:t>received</w:t>
                        </w:r>
                        <w:proofErr w:type="gramEnd"/>
                      </w:p>
                    </w:txbxContent>
                  </v:textbox>
                </v:rect>
                <v:rect id="Rectangle 14" o:spid="_x0000_s1036" style="position:absolute;left:30365;top:17292;width:1359;height:23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arH78A&#10;AADcAAAADwAAAGRycy9kb3ducmV2LnhtbERP24rCMBB9F/yHMMK+aWrB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NqsfvwAAANwAAAAPAAAAAAAAAAAAAAAAAJgCAABkcnMvZG93bnJl&#10;di54bWxQSwUGAAAAAAQABAD1AAAAhAMAAAAA&#10;" filled="f" stroked="f">
                  <v:textbox style="mso-fit-shape-to-text:t" inset="0,0,0,0">
                    <w:txbxContent>
                      <w:p w:rsidR="00DF20A2" w:rsidRDefault="00DF20A2" w:rsidP="00426A6F">
                        <w:r>
                          <w:rPr>
                            <w:rFonts w:ascii="Calibri" w:hAnsi="Calibri" w:cs="Calibri"/>
                            <w:color w:val="000000"/>
                            <w:sz w:val="16"/>
                            <w:szCs w:val="16"/>
                          </w:rPr>
                          <w:t xml:space="preserve">For </w:t>
                        </w:r>
                      </w:p>
                    </w:txbxContent>
                  </v:textbox>
                </v:rect>
                <v:rect id="Rectangle 15" o:spid="_x0000_s1037" style="position:absolute;left:32004;top:17292;width:8033;height:23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oOhL8A&#10;AADcAAAADwAAAGRycy9kb3ducmV2LnhtbERP24rCMBB9F/yHMIJvmqrs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eg6EvwAAANwAAAAPAAAAAAAAAAAAAAAAAJgCAABkcnMvZG93bnJl&#10;di54bWxQSwUGAAAAAAQABAD1AAAAhAMAAAAA&#10;" filled="f" stroked="f">
                  <v:textbox style="mso-fit-shape-to-text:t" inset="0,0,0,0">
                    <w:txbxContent>
                      <w:p w:rsidR="00DF20A2" w:rsidRDefault="00DF20A2" w:rsidP="00426A6F">
                        <w:proofErr w:type="gramStart"/>
                        <w:r>
                          <w:rPr>
                            <w:rFonts w:ascii="Calibri" w:hAnsi="Calibri" w:cs="Calibri"/>
                            <w:color w:val="000000"/>
                            <w:sz w:val="16"/>
                            <w:szCs w:val="16"/>
                          </w:rPr>
                          <w:t>civil</w:t>
                        </w:r>
                        <w:proofErr w:type="gramEnd"/>
                        <w:r>
                          <w:rPr>
                            <w:rFonts w:ascii="Calibri" w:hAnsi="Calibri" w:cs="Calibri"/>
                            <w:color w:val="000000"/>
                            <w:sz w:val="16"/>
                            <w:szCs w:val="16"/>
                          </w:rPr>
                          <w:t xml:space="preserve"> servants only 7 </w:t>
                        </w:r>
                      </w:p>
                    </w:txbxContent>
                  </v:textbox>
                </v:rect>
                <v:rect id="Rectangle 16" o:spid="_x0000_s1038" style="position:absolute;left:45612;top:17297;width:19741;height:57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PFVMEA&#10;AADcAAAADwAAAGRycy9kb3ducmV2LnhtbERPS4vCMBC+C/6HMII3TV1UtBpF9oEefYF6G5qxLTaT&#10;0mRt3V+/EQRv8/E9Z75sTCHuVLncsoJBPwJBnFidc6rgePjpTUA4j6yxsEwKHuRguWi35hhrW/OO&#10;7nufihDCLkYFmfdlLKVLMjLo+rYkDtzVVgZ9gFUqdYV1CDeF/IiisTSYc2jIsKTPjJLb/tcoWE/K&#10;1Xlj/+q0+L6sT9vT9Osw9Up1O81qBsJT49/il3ujw/zREJ7PhAv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zxVTBAAAA3AAAAA8AAAAAAAAAAAAAAAAAmAIAAGRycy9kb3du&#10;cmV2LnhtbFBLBQYAAAAABAAEAPUAAACGAwAAAAA=&#10;" filled="f" stroked="f">
                  <v:textbox inset="0,0,0,0">
                    <w:txbxContent>
                      <w:p w:rsidR="00DF20A2" w:rsidRPr="00B01E58" w:rsidRDefault="00DF20A2" w:rsidP="00426A6F">
                        <w:pPr>
                          <w:rPr>
                            <w:rFonts w:ascii="Calibri" w:hAnsi="Calibri" w:cs="Calibri"/>
                            <w:b/>
                            <w:bCs/>
                            <w:color w:val="0070C0"/>
                            <w:sz w:val="16"/>
                            <w:szCs w:val="16"/>
                          </w:rPr>
                        </w:pPr>
                        <w:r>
                          <w:rPr>
                            <w:rFonts w:ascii="Calibri" w:hAnsi="Calibri" w:cs="Calibri"/>
                            <w:b/>
                            <w:bCs/>
                            <w:color w:val="0070C0"/>
                            <w:sz w:val="16"/>
                            <w:szCs w:val="16"/>
                          </w:rPr>
                          <w:t>- No contributions received since May 2011</w:t>
                        </w:r>
                      </w:p>
                      <w:p w:rsidR="00DF20A2" w:rsidRDefault="00DF20A2" w:rsidP="00426A6F">
                        <w:r>
                          <w:rPr>
                            <w:rFonts w:ascii="Calibri" w:hAnsi="Calibri" w:cs="Calibri"/>
                            <w:b/>
                            <w:bCs/>
                            <w:color w:val="0070C0"/>
                            <w:sz w:val="16"/>
                            <w:szCs w:val="16"/>
                          </w:rPr>
                          <w:t>- Only pension payments are received for security forces</w:t>
                        </w:r>
                      </w:p>
                    </w:txbxContent>
                  </v:textbox>
                </v:rect>
                <v:rect id="Rectangle 17" o:spid="_x0000_s1039" style="position:absolute;left:30365;top:18377;width:6959;height:23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8za74A&#10;AADcAAAADwAAAGRycy9kb3ducmV2LnhtbERP24rCMBB9X/Afwgi+ramC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vfM2u+AAAA3AAAAA8AAAAAAAAAAAAAAAAAmAIAAGRycy9kb3ducmV2&#10;LnhtbFBLBQYAAAAABAAEAPUAAACDAwAAAAA=&#10;" filled="f" stroked="f">
                  <v:textbox style="mso-fit-shape-to-text:t" inset="0,0,0,0">
                    <w:txbxContent>
                      <w:p w:rsidR="00DF20A2" w:rsidRDefault="00DF20A2" w:rsidP="00426A6F">
                        <w:proofErr w:type="gramStart"/>
                        <w:r>
                          <w:rPr>
                            <w:rFonts w:ascii="Calibri" w:hAnsi="Calibri" w:cs="Calibri"/>
                            <w:color w:val="000000"/>
                            <w:sz w:val="16"/>
                            <w:szCs w:val="16"/>
                          </w:rPr>
                          <w:t>percent</w:t>
                        </w:r>
                        <w:proofErr w:type="gramEnd"/>
                        <w:r>
                          <w:rPr>
                            <w:rFonts w:ascii="Calibri" w:hAnsi="Calibri" w:cs="Calibri"/>
                            <w:color w:val="000000"/>
                            <w:sz w:val="16"/>
                            <w:szCs w:val="16"/>
                          </w:rPr>
                          <w:t xml:space="preserve"> received</w:t>
                        </w:r>
                      </w:p>
                    </w:txbxContent>
                  </v:textbox>
                </v:rect>
                <v:rect id="Rectangle 18" o:spid="_x0000_s1040" style="position:absolute;left:30365;top:19602;width:311;height:23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2tHL4A&#10;AADcAAAADwAAAGRycy9kb3ducmV2LnhtbERP24rCMBB9X/Afwgi+ramC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sNrRy+AAAA3AAAAA8AAAAAAAAAAAAAAAAAmAIAAGRycy9kb3ducmV2&#10;LnhtbFBLBQYAAAAABAAEAPUAAACDAwAAAAA=&#10;" filled="f" stroked="f">
                  <v:textbox style="mso-fit-shape-to-text:t" inset="0,0,0,0">
                    <w:txbxContent>
                      <w:p w:rsidR="00DF20A2" w:rsidRDefault="00DF20A2" w:rsidP="00426A6F">
                        <w:proofErr w:type="gramStart"/>
                        <w:r>
                          <w:rPr>
                            <w:rFonts w:ascii="Calibri" w:hAnsi="Calibri" w:cs="Calibri"/>
                            <w:color w:val="000000"/>
                            <w:sz w:val="16"/>
                            <w:szCs w:val="16"/>
                          </w:rPr>
                          <w:t>f</w:t>
                        </w:r>
                        <w:proofErr w:type="gramEnd"/>
                      </w:p>
                    </w:txbxContent>
                  </v:textbox>
                </v:rect>
                <v:rect id="Rectangle 19" o:spid="_x0000_s1041" style="position:absolute;left:30664;top:19602;width:11341;height:23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EIh78A&#10;AADcAAAADwAAAGRycy9kb3ducmV2LnhtbERP24rCMBB9F/yHMIJvmiq4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0QQiHvwAAANwAAAAPAAAAAAAAAAAAAAAAAJgCAABkcnMvZG93bnJl&#10;di54bWxQSwUGAAAAAAQABAD1AAAAhAMAAAAA&#10;" filled="f" stroked="f">
                  <v:textbox style="mso-fit-shape-to-text:t" inset="0,0,0,0">
                    <w:txbxContent>
                      <w:p w:rsidR="00DF20A2" w:rsidRDefault="00DF20A2" w:rsidP="00426A6F">
                        <w:proofErr w:type="gramStart"/>
                        <w:r>
                          <w:rPr>
                            <w:rFonts w:ascii="Calibri" w:hAnsi="Calibri" w:cs="Calibri"/>
                            <w:color w:val="000000"/>
                            <w:sz w:val="16"/>
                            <w:szCs w:val="16"/>
                          </w:rPr>
                          <w:t>or</w:t>
                        </w:r>
                        <w:proofErr w:type="gramEnd"/>
                        <w:r>
                          <w:rPr>
                            <w:rFonts w:ascii="Calibri" w:hAnsi="Calibri" w:cs="Calibri"/>
                            <w:color w:val="000000"/>
                            <w:sz w:val="16"/>
                            <w:szCs w:val="16"/>
                          </w:rPr>
                          <w:t xml:space="preserve"> DB, and 3 percent for DC</w:t>
                        </w:r>
                      </w:p>
                    </w:txbxContent>
                  </v:textbox>
                </v:rect>
                <v:rect id="Rectangle 20" o:spid="_x0000_s1042" style="position:absolute;left:30365;top:20695;width:9950;height:23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6c9c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6c9cMAAADcAAAADwAAAAAAAAAAAAAAAACYAgAAZHJzL2Rv&#10;d25yZXYueG1sUEsFBgAAAAAEAAQA9QAAAIgDAAAAAA==&#10;" filled="f" stroked="f">
                  <v:textbox style="mso-fit-shape-to-text:t" inset="0,0,0,0">
                    <w:txbxContent>
                      <w:p w:rsidR="00DF20A2" w:rsidRDefault="00DF20A2" w:rsidP="00426A6F">
                        <w:r>
                          <w:rPr>
                            <w:rFonts w:ascii="Calibri" w:hAnsi="Calibri" w:cs="Calibri"/>
                            <w:color w:val="000000"/>
                            <w:sz w:val="16"/>
                            <w:szCs w:val="16"/>
                          </w:rPr>
                          <w:t xml:space="preserve">For security service only </w:t>
                        </w:r>
                      </w:p>
                    </w:txbxContent>
                  </v:textbox>
                </v:rect>
                <v:rect id="Rectangle 21" o:spid="_x0000_s1043" style="position:absolute;left:40786;top:20695;width:3277;height:23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I5br8A&#10;AADcAAAADwAAAGRycy9kb3ducmV2LnhtbERP24rCMBB9X/Afwgi+ramC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kjluvwAAANwAAAAPAAAAAAAAAAAAAAAAAJgCAABkcnMvZG93bnJl&#10;di54bWxQSwUGAAAAAAQABAD1AAAAhAMAAAAA&#10;" filled="f" stroked="f">
                  <v:textbox style="mso-fit-shape-to-text:t" inset="0,0,0,0">
                    <w:txbxContent>
                      <w:p w:rsidR="00DF20A2" w:rsidRDefault="00DF20A2" w:rsidP="00426A6F">
                        <w:proofErr w:type="gramStart"/>
                        <w:r>
                          <w:rPr>
                            <w:rFonts w:ascii="Calibri" w:hAnsi="Calibri" w:cs="Calibri"/>
                            <w:color w:val="000000"/>
                            <w:sz w:val="16"/>
                            <w:szCs w:val="16"/>
                          </w:rPr>
                          <w:t>pension</w:t>
                        </w:r>
                        <w:proofErr w:type="gramEnd"/>
                      </w:p>
                    </w:txbxContent>
                  </v:textbox>
                </v:rect>
                <v:rect id="Rectangle 22" o:spid="_x0000_s1044" style="position:absolute;left:30511;top:21780;width:9404;height:235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RaTsMA&#10;AADcAAAADwAAAGRycy9kb3ducmV2LnhtbESPzWoDMQyE74G8g1Ggt6y3OYSwiRNKIZCWXLLpA4i1&#10;9ofa8mK72e3bR4dCbxIzmvl0OM3eqQfFNAQ28FqUoIibYAfuDHzdz+sdqJSRLbrAZOCXEpyOy8UB&#10;KxsmvtGjzp2SEE4VGuhzHiutU9OTx1SEkVi0NkSPWdbYaRtxknDv9KYst9rjwNLQ40jvPTXf9Y83&#10;oO/1edrVLpbhc9Ne3cfl1lIw5mU1v+1BZZrzv/nv+mIFfyv48oxMoI9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RaTsMAAADcAAAADwAAAAAAAAAAAAAAAACYAgAAZHJzL2Rv&#10;d25yZXYueG1sUEsFBgAAAAAEAAQA9QAAAIgDAAAAAA==&#10;" filled="f" stroked="f">
                  <v:textbox style="mso-fit-shape-to-text:t" inset="0,0,0,0">
                    <w:txbxContent>
                      <w:p w:rsidR="00DF20A2" w:rsidRDefault="00DF20A2" w:rsidP="00426A6F">
                        <w:proofErr w:type="gramStart"/>
                        <w:r>
                          <w:rPr>
                            <w:rFonts w:ascii="Calibri" w:hAnsi="Calibri" w:cs="Calibri"/>
                            <w:color w:val="000000"/>
                            <w:sz w:val="16"/>
                            <w:szCs w:val="16"/>
                          </w:rPr>
                          <w:t>payments</w:t>
                        </w:r>
                        <w:proofErr w:type="gramEnd"/>
                        <w:r>
                          <w:rPr>
                            <w:rFonts w:ascii="Calibri" w:hAnsi="Calibri" w:cs="Calibri"/>
                            <w:color w:val="000000"/>
                            <w:sz w:val="16"/>
                            <w:szCs w:val="16"/>
                          </w:rPr>
                          <w:t xml:space="preserve"> are received</w:t>
                        </w:r>
                      </w:p>
                    </w:txbxContent>
                  </v:textbox>
                </v:rect>
                <v:rect id="Rectangle 23" o:spid="_x0000_s1045" style="position:absolute;left:30365;top:27500;width:9703;height:23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j/1b4A&#10;AADcAAAADwAAAGRycy9kb3ducmV2LnhtbERPy6rCMBDdC/5DGOHuNNWFSDWKCIJX7sbqBwzN9IHJ&#10;pCTR9v69EQR3czjP2ewGa8STfGgdK5jPMhDEpdMt1wpu1+N0BSJEZI3GMSn4pwC77Xi0wVy7ni/0&#10;LGItUgiHHBU0MXa5lKFsyGKYuY44cZXzFmOCvpbaY5/CrZGLLFtKiy2nhgY7OjRU3ouHVSCvxbFf&#10;FcZn7ryo/szv6VKRU+pnMuzXICIN8Sv+uE86zV/O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qI/9W+AAAA3AAAAA8AAAAAAAAAAAAAAAAAmAIAAGRycy9kb3ducmV2&#10;LnhtbFBLBQYAAAAABAAEAPUAAACDAwAAAAA=&#10;" filled="f" stroked="f">
                  <v:textbox style="mso-fit-shape-to-text:t" inset="0,0,0,0">
                    <w:txbxContent>
                      <w:p w:rsidR="00DF20A2" w:rsidRDefault="00DF20A2" w:rsidP="00426A6F">
                        <w:r>
                          <w:rPr>
                            <w:rFonts w:ascii="Calibri" w:hAnsi="Calibri" w:cs="Calibri"/>
                            <w:color w:val="000000"/>
                            <w:sz w:val="16"/>
                            <w:szCs w:val="16"/>
                          </w:rPr>
                          <w:t xml:space="preserve">Only pension payments </w:t>
                        </w:r>
                      </w:p>
                    </w:txbxContent>
                  </v:textbox>
                </v:rect>
                <v:rect id="Rectangle 24" o:spid="_x0000_s1046" style="position:absolute;left:30365;top:28725;width:5105;height:235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phor4A&#10;AADcAAAADwAAAGRycy9kb3ducmV2LnhtbERPzYrCMBC+C75DGGFvmtqDSDWKCIIre7HuAwzN9AeT&#10;SUmi7b69EYS9zcf3O9v9aI14kg+dYwXLRQaCuHK640bB7+00X4MIEVmjcUwK/ijAfjedbLHQbuAr&#10;PcvYiBTCoUAFbYx9IWWoWrIYFq4nTlztvMWYoG+k9jikcGtknmUrabHj1NBiT8eWqnv5sArkrTwN&#10;69L4zF3y+sd8n681OaW+ZuNhAyLSGP/FH/dZp/mrHN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paYaK+AAAA3AAAAA8AAAAAAAAAAAAAAAAAmAIAAGRycy9kb3ducmV2&#10;LnhtbFBLBQYAAAAABAAEAPUAAACDAwAAAAA=&#10;" filled="f" stroked="f">
                  <v:textbox style="mso-fit-shape-to-text:t" inset="0,0,0,0">
                    <w:txbxContent>
                      <w:p w:rsidR="00DF20A2" w:rsidRDefault="00DF20A2" w:rsidP="00426A6F">
                        <w:proofErr w:type="gramStart"/>
                        <w:r>
                          <w:rPr>
                            <w:rFonts w:ascii="Calibri" w:hAnsi="Calibri" w:cs="Calibri"/>
                            <w:color w:val="000000"/>
                            <w:sz w:val="16"/>
                            <w:szCs w:val="16"/>
                          </w:rPr>
                          <w:t>are</w:t>
                        </w:r>
                        <w:proofErr w:type="gramEnd"/>
                        <w:r>
                          <w:rPr>
                            <w:rFonts w:ascii="Calibri" w:hAnsi="Calibri" w:cs="Calibri"/>
                            <w:color w:val="000000"/>
                            <w:sz w:val="16"/>
                            <w:szCs w:val="16"/>
                          </w:rPr>
                          <w:t xml:space="preserve"> received</w:t>
                        </w:r>
                      </w:p>
                    </w:txbxContent>
                  </v:textbox>
                </v:rect>
                <v:rect id="Rectangle 25" o:spid="_x0000_s1047" style="position:absolute;left:45205;top:27500;width:15373;height:23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bEOb4A&#10;AADcAAAADwAAAGRycy9kb3ducmV2LnhtbERP24rCMBB9X/Afwgi+rakK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UWxDm+AAAA3AAAAA8AAAAAAAAAAAAAAAAAmAIAAGRycy9kb3ducmV2&#10;LnhtbFBLBQYAAAAABAAEAPUAAACDAwAAAAA=&#10;" filled="f" stroked="f">
                  <v:textbox style="mso-fit-shape-to-text:t" inset="0,0,0,0">
                    <w:txbxContent>
                      <w:p w:rsidR="00DF20A2" w:rsidRDefault="00DF20A2" w:rsidP="00426A6F">
                        <w:r>
                          <w:rPr>
                            <w:rFonts w:ascii="Calibri" w:hAnsi="Calibri" w:cs="Calibri"/>
                            <w:b/>
                            <w:bCs/>
                            <w:color w:val="0070C0"/>
                            <w:sz w:val="16"/>
                            <w:szCs w:val="16"/>
                          </w:rPr>
                          <w:t xml:space="preserve">Only pension payments are received </w:t>
                        </w:r>
                      </w:p>
                    </w:txbxContent>
                  </v:textbox>
                </v:rect>
                <v:rect id="Rectangle 26" o:spid="_x0000_s1048" style="position:absolute;left:30365;top:33219;width:7067;height:23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9cTb4A&#10;AADcAAAADwAAAGRycy9kb3ducmV2LnhtbERP24rCMBB9X/Afwgi+raki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XE2+AAAA3AAAAA8AAAAAAAAAAAAAAAAAmAIAAGRycy9kb3ducmV2&#10;LnhtbFBLBQYAAAAABAAEAPUAAACDAwAAAAA=&#10;" filled="f" stroked="f">
                  <v:textbox style="mso-fit-shape-to-text:t" inset="0,0,0,0">
                    <w:txbxContent>
                      <w:p w:rsidR="00DF20A2" w:rsidRDefault="00DF20A2" w:rsidP="00426A6F">
                        <w:r>
                          <w:rPr>
                            <w:rFonts w:ascii="Calibri" w:hAnsi="Calibri" w:cs="Calibri"/>
                            <w:color w:val="000000"/>
                            <w:sz w:val="16"/>
                            <w:szCs w:val="16"/>
                          </w:rPr>
                          <w:t>Nothing received</w:t>
                        </w:r>
                      </w:p>
                    </w:txbxContent>
                  </v:textbox>
                </v:rect>
                <v:rect id="Rectangle 27" o:spid="_x0000_s1049" style="position:absolute;left:45205;top:33223;width:15373;height:521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P51r4A&#10;AADcAAAADwAAAGRycy9kb3ducmV2LnhtbERP24rCMBB9X/Afwgi+ramC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Wz+da+AAAA3AAAAA8AAAAAAAAAAAAAAAAAmAIAAGRycy9kb3ducmV2&#10;LnhtbFBLBQYAAAAABAAEAPUAAACDAwAAAAA=&#10;" filled="f" stroked="f">
                  <v:textbox style="mso-fit-shape-to-text:t" inset="0,0,0,0">
                    <w:txbxContent>
                      <w:p w:rsidR="00DF20A2" w:rsidRDefault="00DF20A2" w:rsidP="00426A6F">
                        <w:r>
                          <w:rPr>
                            <w:rFonts w:ascii="Calibri" w:hAnsi="Calibri" w:cs="Calibri"/>
                            <w:b/>
                            <w:bCs/>
                            <w:color w:val="0070C0"/>
                            <w:sz w:val="16"/>
                            <w:szCs w:val="16"/>
                          </w:rPr>
                          <w:t xml:space="preserve">Only pension payments are received </w:t>
                        </w:r>
                      </w:p>
                      <w:p w:rsidR="00DF20A2" w:rsidRDefault="00DF20A2" w:rsidP="00426A6F"/>
                    </w:txbxContent>
                  </v:textbox>
                </v:rect>
                <v:rect id="Rectangle 30" o:spid="_x0000_s1050" style="position:absolute;left:6089;top:838;width:819;height:28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Fnob4A&#10;AADcAAAADwAAAGRycy9kb3ducmV2LnhtbERPzYrCMBC+L/gOYQRva6qHIl2jiCCoeLHuAwzN9IdN&#10;JiWJtr69EYS9zcf3O+vtaI14kA+dYwWLeQaCuHK640bB7+3wvQIRIrJG45gUPCnAdjP5WmOh3cBX&#10;epSxESmEQ4EK2hj7QspQtWQxzF1PnLjaeYsxQd9I7XFI4dbIZZbl0mLHqaHFnvYtVX/l3SqQt/Iw&#10;rErjM3de1hdzOl5rckrNpuPuB0SkMf6LP+6jTvPzHN7PpAvk5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VhZ6G+AAAA3AAAAA8AAAAAAAAAAAAAAAAAmAIAAGRycy9kb3ducmV2&#10;LnhtbFBLBQYAAAAABAAEAPUAAACDAwAAAAA=&#10;" filled="f" stroked="f">
                  <v:textbox style="mso-fit-shape-to-text:t" inset="0,0,0,0">
                    <w:txbxContent>
                      <w:p w:rsidR="00DF20A2" w:rsidRDefault="00DF20A2" w:rsidP="00426A6F"/>
                    </w:txbxContent>
                  </v:textbox>
                </v:rect>
                <v:rect id="Rectangle 31" o:spid="_x0000_s1051" style="position:absolute;left:704;top:8308;width:4210;height:25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3COr8A&#10;AADcAAAADwAAAGRycy9kb3ducmV2LnhtbERPzYrCMBC+L/gOYQRva6oHV6pRRBBc8WL1AYZm+oPJ&#10;pCTRdt/eCMLe5uP7nfV2sEY8yYfWsYLZNANBXDrdcq3gdj18L0GEiKzROCYFfxRguxl9rTHXrucL&#10;PYtYixTCIUcFTYxdLmUoG7IYpq4jTlzlvMWYoK+l9tincGvkPMsW0mLLqaHBjvYNlffiYRXIa3Ho&#10;l4XxmTvNq7P5PV4qckpNxsNuBSLSEP/FH/dRp/mLH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LcI6vwAAANwAAAAPAAAAAAAAAAAAAAAAAJgCAABkcnMvZG93bnJl&#10;di54bWxQSwUGAAAAAAQABAD1AAAAhAMAAAAA&#10;" filled="f" stroked="f">
                  <v:textbox style="mso-fit-shape-to-text:t" inset="0,0,0,0">
                    <w:txbxContent>
                      <w:p w:rsidR="00DF20A2" w:rsidRPr="0025775B" w:rsidRDefault="00DF20A2" w:rsidP="00426A6F">
                        <w:pPr>
                          <w:rPr>
                            <w:sz w:val="18"/>
                            <w:szCs w:val="18"/>
                          </w:rPr>
                        </w:pPr>
                        <w:r w:rsidRPr="0025775B">
                          <w:rPr>
                            <w:rFonts w:ascii="Calibri" w:hAnsi="Calibri" w:cs="Calibri"/>
                            <w:color w:val="000000"/>
                            <w:sz w:val="18"/>
                            <w:szCs w:val="18"/>
                          </w:rPr>
                          <w:t>Scheme I</w:t>
                        </w:r>
                      </w:p>
                    </w:txbxContent>
                  </v:textbox>
                </v:rect>
                <v:rect id="Rectangle 32" o:spid="_x0000_s1052" style="position:absolute;left:704;top:16084;width:4495;height:25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JWSMMA&#10;AADcAAAADwAAAGRycy9kb3ducmV2LnhtbESPzWoDMQyE74G8g1Ggt6y3OYSwiRNKIZCWXLLpA4i1&#10;9ofa8mK72e3bR4dCbxIzmvl0OM3eqQfFNAQ28FqUoIibYAfuDHzdz+sdqJSRLbrAZOCXEpyOy8UB&#10;KxsmvtGjzp2SEE4VGuhzHiutU9OTx1SEkVi0NkSPWdbYaRtxknDv9KYst9rjwNLQ40jvPTXf9Y83&#10;oO/1edrVLpbhc9Ne3cfl1lIw5mU1v+1BZZrzv/nv+mIFfyu08oxMoI9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7JWSMMAAADcAAAADwAAAAAAAAAAAAAAAACYAgAAZHJzL2Rv&#10;d25yZXYueG1sUEsFBgAAAAAEAAQA9QAAAIgDAAAAAA==&#10;" filled="f" stroked="f">
                  <v:textbox style="mso-fit-shape-to-text:t" inset="0,0,0,0">
                    <w:txbxContent>
                      <w:p w:rsidR="00DF20A2" w:rsidRPr="0025775B" w:rsidRDefault="00DF20A2" w:rsidP="00426A6F">
                        <w:pPr>
                          <w:rPr>
                            <w:sz w:val="18"/>
                            <w:szCs w:val="18"/>
                          </w:rPr>
                        </w:pPr>
                        <w:r w:rsidRPr="0025775B">
                          <w:rPr>
                            <w:rFonts w:ascii="Calibri" w:hAnsi="Calibri" w:cs="Calibri"/>
                            <w:color w:val="000000"/>
                            <w:sz w:val="18"/>
                            <w:szCs w:val="18"/>
                          </w:rPr>
                          <w:t>Scheme II</w:t>
                        </w:r>
                      </w:p>
                    </w:txbxContent>
                  </v:textbox>
                </v:rect>
                <v:rect id="Rectangle 33" o:spid="_x0000_s1053" style="position:absolute;left:704;top:26332;width:4787;height:25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7z078A&#10;AADcAAAADwAAAGRycy9kb3ducmV2LnhtbERPzYrCMBC+L/gOYQRva6oHcatRRBBc8WL1AYZm+oPJ&#10;pCTRdt/eCMLe5uP7nfV2sEY8yYfWsYLZNANBXDrdcq3gdj18L0GEiKzROCYFfxRguxl9rTHXrucL&#10;PYtYixTCIUcFTYxdLmUoG7IYpq4jTlzlvMWYoK+l9tincGvkPMsW0mLLqaHBjvYNlffiYRXIa3Ho&#10;l4XxmTvNq7P5PV4qckpNxsNuBSLSEP/FH/dRp/mLH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k/vPTvwAAANwAAAAPAAAAAAAAAAAAAAAAAJgCAABkcnMvZG93bnJl&#10;di54bWxQSwUGAAAAAAQABAD1AAAAhAMAAAAA&#10;" filled="f" stroked="f">
                  <v:textbox style="mso-fit-shape-to-text:t" inset="0,0,0,0">
                    <w:txbxContent>
                      <w:p w:rsidR="00DF20A2" w:rsidRPr="0025775B" w:rsidRDefault="00DF20A2" w:rsidP="00426A6F">
                        <w:pPr>
                          <w:rPr>
                            <w:sz w:val="18"/>
                            <w:szCs w:val="18"/>
                          </w:rPr>
                        </w:pPr>
                        <w:r w:rsidRPr="0025775B">
                          <w:rPr>
                            <w:rFonts w:ascii="Calibri" w:hAnsi="Calibri" w:cs="Calibri"/>
                            <w:color w:val="000000"/>
                            <w:sz w:val="18"/>
                            <w:szCs w:val="18"/>
                          </w:rPr>
                          <w:t>Scheme III</w:t>
                        </w:r>
                      </w:p>
                    </w:txbxContent>
                  </v:textbox>
                </v:rect>
                <v:rect id="Rectangle 34" o:spid="_x0000_s1054" style="position:absolute;left:1010;top:32097;width:4857;height:25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3Mk8MA&#10;AADcAAAADwAAAGRycy9kb3ducmV2LnhtbESPT2sCMRDF70K/Q5hCb5qthypbo5SCoMWLqx9g2Mz+&#10;oclkSVJ3/fadg+Bthvfmvd9sdpN36kYx9YENvC8KUMR1sD23Bq6X/XwNKmVkiy4wGbhTgt32ZbbB&#10;0oaRz3SrcqskhFOJBrqch1LrVHfkMS3CQCxaE6LHLGtstY04Srh3elkUH9pjz9LQ4UDfHdW/1Z83&#10;oC/VflxXLhbhZ9mc3PFwbigY8/Y6fX2CyjTlp/lxfbCCvxJ8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3Mk8MAAADcAAAADwAAAAAAAAAAAAAAAACYAgAAZHJzL2Rv&#10;d25yZXYueG1sUEsFBgAAAAAEAAQA9QAAAIgDAAAAAA==&#10;" filled="f" stroked="f">
                  <v:textbox style="mso-fit-shape-to-text:t" inset="0,0,0,0">
                    <w:txbxContent>
                      <w:p w:rsidR="00DF20A2" w:rsidRPr="0025775B" w:rsidRDefault="00DF20A2" w:rsidP="00426A6F">
                        <w:pPr>
                          <w:rPr>
                            <w:sz w:val="18"/>
                            <w:szCs w:val="18"/>
                          </w:rPr>
                        </w:pPr>
                        <w:r w:rsidRPr="0025775B">
                          <w:rPr>
                            <w:rFonts w:ascii="Calibri" w:hAnsi="Calibri" w:cs="Calibri"/>
                            <w:color w:val="000000"/>
                            <w:sz w:val="18"/>
                            <w:szCs w:val="18"/>
                          </w:rPr>
                          <w:t>Scheme IV</w:t>
                        </w:r>
                      </w:p>
                    </w:txbxContent>
                  </v:textbox>
                </v:rect>
                <v:shape id="Freeform 35" o:spid="_x0000_s1055" style="position:absolute;left:7886;top:7219;width:20244;height:5036;visibility:visible;mso-wrap-style:square;v-text-anchor:top" coordsize="3188,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xNecUA&#10;AADcAAAADwAAAGRycy9kb3ducmV2LnhtbERPS2sCMRC+C/0PYQreNLsibdkapbRaeigU7UO8DZtx&#10;s3YzWTepG/99IxR6m4/vObNFtI04UedrxwrycQaCuHS65krBx/tqdAfCB2SNjWNScCYPi/nVYIaF&#10;dj2v6bQJlUgh7AtUYEJoCyl9aciiH7uWOHF711kMCXaV1B32Kdw2cpJlN9JizanBYEuPhsrvzY9V&#10;8PzVP+WvW8NbvVtmh+Mhvn1Oo1LD6/hwDyJQDP/iP/eLTvNvc7g8ky6Q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fE15xQAAANwAAAAPAAAAAAAAAAAAAAAAAJgCAABkcnMv&#10;ZG93bnJldi54bWxQSwUGAAAAAAQABAD1AAAAigMAAAAA&#10;" path="m,21r,l24,,2063,r23,21l2086,300r-23,l2954,300r,-86l2954,193r23,l2977,214r211,193l2977,600r-23,l2954,493r,21l2063,514r23,-21l2086,793r-23,l24,793,,793,,21xm24,793r,-21l2063,772r,21l2063,493r891,l2977,493r,107l2954,600,3165,407,2954,214r23,l2977,300r,21l2954,321r-891,l2063,300r,-279l24,21r,772xe" fillcolor="#385d8a" strokecolor="#385d8a" strokeweight="0">
                  <v:path arrowok="t" o:connecttype="custom" o:connectlocs="0,8468599;0,8468599;9677610,0;831871255,0;841145632,8468599;841145632,8468599;841145632,120979992;831871255,120979992;1191152539,120979992;1191152539,120979992;1191152539,86299061;1191152539,86299061;1191152539,77830461;1200426916,77830461;1200426916,86299061;1285509240,164129522;1285509240,164129522;1285509240,164129522;1200426916,241959984;1200426916,241959984;1191152539,241959984;1191152539,241959984;1191152539,241959984;1191152539,198810453;1191152539,207279053;831871255,207279053;841145632,198810453;841145632,319790445;841145632,319790445;831871255,319790445;9677610,319790445;0,319790445;0,319790445;0,8468599;9677610,319790445;9677610,311321846;831871255,311321846;831871255,319790445;831871255,198810453;831871255,198810453;831871255,198810453;1191152539,198810453;1200426916,198810453;1200426916,198810453;1200426916,241959984;1191152539,241959984;1276234863,164129522;1276234863,164129522;1191152539,86299061;1200426916,86299061;1200426916,120979992;1200426916,129448591;1191152539,129448591;831871255,129448591;831871255,129448591;831871255,120979992;831871255,8468599;831871255,8468599;9677610,8468599;9677610,8468599;9677610,319790445" o:connectangles="0,0,0,0,0,0,0,0,0,0,0,0,0,0,0,0,0,0,0,0,0,0,0,0,0,0,0,0,0,0,0,0,0,0,0,0,0,0,0,0,0,0,0,0,0,0,0,0,0,0,0,0,0,0,0,0,0,0,0,0,0"/>
                  <o:lock v:ext="edit" verticies="t"/>
                </v:shape>
                <v:shape id="Freeform 36" o:spid="_x0000_s1056" style="position:absolute;left:7886;top:13347;width:20244;height:10757;visibility:visible;mso-wrap-style:square;v-text-anchor:top" coordsize="3188,16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wGo8MA&#10;AADcAAAADwAAAGRycy9kb3ducmV2LnhtbERPTUvDQBC9C/0PyxS82Y0FTUm7LSoIQkEw2mpvQ3ZM&#10;gtnZuDsm8d+7guBtHu9zNrvJdWqgEFvPBi4XGSjiytuWawMvz/cXK1BRkC12nsnAN0XYbWdnGyys&#10;H/mJhlJqlUI4FmigEekLrWPVkMO48D1x4t59cCgJhlrbgGMKd51eZtm1dthyamiwp7uGqo/yyxl4&#10;PBxfP/cyhuF2jG9lfrjK93Iy5nw+3axBCU3yL/5zP9g0P1/C7zPpAr3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AwGo8MAAADcAAAADwAAAAAAAAAAAAAAAACYAgAAZHJzL2Rv&#10;d25yZXYueG1sUEsFBgAAAAAEAAQA9QAAAIgDAAAAAA==&#10;" path="m,21r,l24,,2063,r23,21l2086,643r-23,l2860,643r-23,l2837,428r23,l3188,857r-328,429l2837,1286r,-21l2837,1072r23,l2063,1072r23,l2086,1694r-23,l24,1694r-24,l,21xm24,1694r,-22l2063,1672r,22l2063,1072r,-22l2860,1050r,22l2860,1265r-23,l3165,857,2837,450r23,-22l2860,643r,21l2063,664r,-21l2063,21,24,21r,1673xe" fillcolor="#385d8a" strokecolor="#385d8a" strokeweight="0">
                  <v:path arrowok="t" o:connecttype="custom" o:connectlocs="0,8467922;0,8467922;9677610,0;831871255,0;841145632,8467922;841145632,8467922;841145632,259279701;831871255,259279701;1153248565,259279701;1143974189,259279701;1143974189,172584311;1143974189,172584311;1153248565,172584311;1153248565,172584311;1153248565,172584311;1285509240,345571856;1285509240,345571856;1285509240,345571856;1153248565,518559402;1153248565,518559402;1153248565,518559402;1143974189,518559402;1143974189,510091480;1143974189,432267246;1153248565,432267246;831871255,432267246;841145632,432267246;841145632,683079025;841145632,683079025;831871255,683079025;9677610,683079025;0,683079025;0,683079025;0,8467922;9677610,683079025;9677610,674207869;831871255,674207869;831871255,683079025;831871255,432267246;831871255,423396090;831871255,423396090;1153248565,423396090;1153248565,423396090;1153248565,432267246;1153248565,510091480;1143974189,510091480;1276234863,345571856;1276234863,345571856;1143974189,181455467;1153248565,172584311;1153248565,259279701;1153248565,259279701;1153248565,267747623;831871255,267747623;831871255,259279701;831871255,259279701;831871255,8467922;831871255,8467922;9677610,8467922;9677610,8467922;9677610,683079025" o:connectangles="0,0,0,0,0,0,0,0,0,0,0,0,0,0,0,0,0,0,0,0,0,0,0,0,0,0,0,0,0,0,0,0,0,0,0,0,0,0,0,0,0,0,0,0,0,0,0,0,0,0,0,0,0,0,0,0,0,0,0,0,0"/>
                  <o:lock v:ext="edit" verticies="t"/>
                </v:shape>
                <v:shape id="Freeform 37" o:spid="_x0000_s1057" style="position:absolute;left:8337;top:24784;width:20244;height:5035;visibility:visible;mso-wrap-style:square;v-text-anchor:top" coordsize="3188,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J2lcUA&#10;AADcAAAADwAAAGRycy9kb3ducmV2LnhtbERPTU8CMRC9k/AfmiHhBl3EoFkphAgaDyZGBIm3yXbc&#10;Lmyn67ay9d9bExJv8/I+Z76MthZnan3lWMFknIEgLpyuuFSwe3sY3YLwAVlj7ZgU/JCH5aLfm2Ou&#10;XcevdN6GUqQQ9jkqMCE0uZS+MGTRj11DnLhP11oMCbal1C12KdzW8irLZtJixanBYEP3horT9tsq&#10;eHzv1pPng+GD/thkx69jfNlfR6WGg7i6AxEohn/xxf2k0/ybKfw9ky6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4naVxQAAANwAAAAPAAAAAAAAAAAAAAAAAJgCAABkcnMv&#10;ZG93bnJldi54bWxQSwUGAAAAAAQABAD1AAAAigMAAAAA&#10;" path="m,21r,l23,,2062,r24,21l2086,300r-24,l3023,300r,-86l3023,193r24,21l3188,407,3047,600r-24,l3023,493r,22l2062,515r24,-22l2086,793r-24,l23,793,,793,,21xm23,793r,-21l2062,772r,21l2062,493r961,l3047,493r,107l3023,600,3164,407,3023,214r24,l3047,300r-24,22l2062,322r,-22l2062,21,23,21r,772xe" fillcolor="#385d8a" strokecolor="#385d8a" strokeweight="0">
                  <v:path arrowok="t" o:connecttype="custom" o:connectlocs="0,8466918;0,8466918;9274377,0;831468022,0;841145632,8466918;841145632,8466918;841145632,120955969;831468022,120955969;1218975669,120955969;1218975669,120955969;1218975669,86281925;1218975669,86281925;1218975669,77815007;1218975669,77815007;1228653279,86281925;1285509240,164096931;1285509240,164096931;1285509240,164096931;1228653279,241911938;1218975669,241911938;1218975669,241911938;1218975669,241911938;1218975669,241911938;1218975669,198770976;1218975669,207641080;831468022,207641080;841145632,198770976;841145632,319726945;841145632,319726945;831468022,319726945;9274377,319726945;0,319726945;0,319726945;0,8466918;9274377,319726945;9274377,311260027;831468022,311260027;831468022,319726945;831468022,198770976;831468022,198770976;831468022,198770976;1218975669,198770976;1218975669,198770976;1228653279,198770976;1228653279,241911938;1218975669,241911938;1275831630,164096931;1275831630,164096931;1218975669,86281925;1228653279,86281925;1228653279,120955969;1218975669,129826074;1218975669,129826074;831468022,129826074;831468022,129826074;831468022,120955969;831468022,8466918;831468022,8466918;9274377,8466918;9274377,8466918;9274377,319726945" o:connectangles="0,0,0,0,0,0,0,0,0,0,0,0,0,0,0,0,0,0,0,0,0,0,0,0,0,0,0,0,0,0,0,0,0,0,0,0,0,0,0,0,0,0,0,0,0,0,0,0,0,0,0,0,0,0,0,0,0,0,0,0,0"/>
                  <o:lock v:ext="edit" verticies="t"/>
                </v:shape>
                <v:shape id="Freeform 38" o:spid="_x0000_s1058" style="position:absolute;left:8337;top:30911;width:20244;height:5036;visibility:visible;mso-wrap-style:square;v-text-anchor:top" coordsize="3188,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vu4cQA&#10;AADcAAAADwAAAGRycy9kb3ducmV2LnhtbERPS0sDMRC+C/6HMII3m20pKtumRdoqHgSxT3obNuNm&#10;281ku4nd9N+bguBtPr7njKfR1uJMra8cK+j3MhDEhdMVlwrWq9eHZxA+IGusHZOCC3mYTm5vxphr&#10;1/EXnZehFCmEfY4KTAhNLqUvDFn0PdcQJ+7btRZDgm0pdYtdCre1HGTZo7RYcWow2NDMUHFc/lgF&#10;b9tu3v/YGd7p/SI7nA7xczOMSt3fxZcRiEAx/Iv/3O86zX8awvWZdIG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L7uHEAAAA3AAAAA8AAAAAAAAAAAAAAAAAmAIAAGRycy9k&#10;b3ducmV2LnhtbFBLBQYAAAAABAAEAPUAAACJAwAAAAA=&#10;" path="m,21r,l23,,2062,r24,21l2086,300r-24,l3023,300r,-86l3023,193r24,21l3188,407,3047,600r-24,l3023,493r,22l2062,515r24,-22l2086,793r-24,l23,793,,793,,21xm23,793r,-21l2062,772r,21l2062,493r961,l3047,493r,107l3023,600,3164,407,3023,214r24,l3047,300r-24,22l2062,322r,-22l2062,21,23,21r,772xe" fillcolor="#385d8a" strokecolor="#385d8a" strokeweight="0">
                  <v:path arrowok="t" o:connecttype="custom" o:connectlocs="0,8468599;0,8468599;9274377,0;831468022,0;841145632,8468599;841145632,8468599;841145632,120979992;831468022,120979992;1218975669,120979992;1218975669,120979992;1218975669,86299061;1218975669,86299061;1218975669,77830461;1218975669,77830461;1228653279,86299061;1285509240,164129522;1285509240,164129522;1285509240,164129522;1228653279,241959984;1218975669,241959984;1218975669,241959984;1218975669,241959984;1218975669,241959984;1218975669,198810453;1218975669,207682319;831468022,207682319;841145632,198810453;841145632,319790445;841145632,319790445;831468022,319790445;9274377,319790445;0,319790445;0,319790445;0,8468599;9274377,319790445;9274377,311321846;831468022,311321846;831468022,319790445;831468022,198810453;831468022,198810453;831468022,198810453;1218975669,198810453;1218975669,198810453;1228653279,198810453;1228653279,241959984;1218975669,241959984;1275831630,164129522;1275831630,164129522;1218975669,86299061;1228653279,86299061;1228653279,120979992;1218975669,129851858;1218975669,129851858;831468022,129851858;831468022,129851858;831468022,120979992;831468022,8468599;831468022,8468599;9274377,8468599;9274377,8468599;9274377,319790445" o:connectangles="0,0,0,0,0,0,0,0,0,0,0,0,0,0,0,0,0,0,0,0,0,0,0,0,0,0,0,0,0,0,0,0,0,0,0,0,0,0,0,0,0,0,0,0,0,0,0,0,0,0,0,0,0,0,0,0,0,0,0,0,0"/>
                  <o:lock v:ext="edit" verticies="t"/>
                </v:shape>
                <v:rect id="Rectangle 39" o:spid="_x0000_s1059" style="position:absolute;left:5359;top:5447;width:19297;height:268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pvC78A&#10;AADcAAAADwAAAGRycy9kb3ducmV2LnhtbERP24rCMBB9F/yHMIJvmiq4K9UoIgi67IvVDxia6QWT&#10;SUmirX+/WVjYtzmc62z3gzXiRT60jhUs5hkI4tLplmsF99tptgYRIrJG45gUvCnAfjcebTHXrucr&#10;vYpYixTCIUcFTYxdLmUoG7IY5q4jTlzlvMWYoK+l9tincGvkMss+pMWWU0ODHR0bKh/F0yqQt+LU&#10;rwvjM/e1rL7N5XytyCk1nQyHDYhIQ/wX/7nPOs3/X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am8LvwAAANwAAAAPAAAAAAAAAAAAAAAAAJgCAABkcnMvZG93bnJl&#10;di54bWxQSwUGAAAAAAQABAD1AAAAhAMAAAAA&#10;" filled="f" stroked="f">
                  <v:textbox style="mso-fit-shape-to-text:t" inset="0,0,0,0">
                    <w:txbxContent>
                      <w:p w:rsidR="00DF20A2" w:rsidRDefault="00DF20A2" w:rsidP="00426A6F">
                        <w:r>
                          <w:rPr>
                            <w:rFonts w:ascii="Calibri" w:hAnsi="Calibri" w:cs="Calibri"/>
                            <w:color w:val="000000"/>
                            <w:sz w:val="20"/>
                            <w:szCs w:val="20"/>
                          </w:rPr>
                          <w:t>Contributions due by the current Law</w:t>
                        </w:r>
                      </w:p>
                    </w:txbxContent>
                  </v:textbox>
                </v:rect>
                <v:rect id="Rectangle 40" o:spid="_x0000_s1060" style="position:absolute;left:9525;top:8303;width:7099;height:25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jxfL8A&#10;AADcAAAADwAAAGRycy9kb3ducmV2LnhtbERPzYrCMBC+L/gOYQRva6oHV6pRRBBc8WL1AYZm+oPJ&#10;pCTRdt/eCMLe5uP7nfV2sEY8yYfWsYLZNANBXDrdcq3gdj18L0GEiKzROCYFfxRguxl9rTHXrucL&#10;PYtYixTCIUcFTYxdLmUoG7IYpq4jTlzlvMWYoK+l9tincGvkPMsW0mLLqaHBjvYNlffiYRXIa3Ho&#10;l4XxmTvNq7P5PV4qckpNxsNuBSLSEP/FH/dRp/k/C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uPF8vwAAANwAAAAPAAAAAAAAAAAAAAAAAJgCAABkcnMvZG93bnJl&#10;di54bWxQSwUGAAAAAAQABAD1AAAAhAMAAAAA&#10;" filled="f" stroked="f">
                  <v:textbox style="mso-fit-shape-to-text:t" inset="0,0,0,0">
                    <w:txbxContent>
                      <w:p w:rsidR="00DF20A2" w:rsidRDefault="00DF20A2" w:rsidP="00426A6F">
                        <w:r>
                          <w:rPr>
                            <w:rFonts w:ascii="Calibri" w:hAnsi="Calibri" w:cs="Calibri"/>
                            <w:color w:val="000000"/>
                            <w:sz w:val="18"/>
                            <w:szCs w:val="18"/>
                          </w:rPr>
                          <w:t xml:space="preserve">22.5 percent of </w:t>
                        </w:r>
                      </w:p>
                    </w:txbxContent>
                  </v:textbox>
                </v:rect>
                <v:rect id="Rectangle 41" o:spid="_x0000_s1061" style="position:absolute;left:11163;top:9662;width:4121;height:25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U578A&#10;AADcAAAADwAAAGRycy9kb3ducmV2LnhtbERPzYrCMBC+L/gOYQRva6oHlWoUEQRXvFh9gKGZ/mAy&#10;KUm03bc3wsLe5uP7nc1usEa8yIfWsYLZNANBXDrdcq3gfjt+r0CEiKzROCYFvxRgtx19bTDXrucr&#10;vYpYixTCIUcFTYxdLmUoG7IYpq4jTlzlvMWYoK+l9tincGvkPMsW0mLLqaHBjg4NlY/iaRXIW3Hs&#10;V4XxmTvPq4v5OV0rckpNxsN+DSLSEP/Ff+6TTvOXS/g8ky6Q2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9FTnvwAAANwAAAAPAAAAAAAAAAAAAAAAAJgCAABkcnMvZG93bnJl&#10;di54bWxQSwUGAAAAAAQABAD1AAAAhAMAAAAA&#10;" filled="f" stroked="f">
                  <v:textbox style="mso-fit-shape-to-text:t" inset="0,0,0,0">
                    <w:txbxContent>
                      <w:p w:rsidR="00DF20A2" w:rsidRDefault="00DF20A2" w:rsidP="00426A6F">
                        <w:proofErr w:type="gramStart"/>
                        <w:r>
                          <w:rPr>
                            <w:rFonts w:ascii="Calibri" w:hAnsi="Calibri" w:cs="Calibri"/>
                            <w:color w:val="000000"/>
                            <w:sz w:val="18"/>
                            <w:szCs w:val="18"/>
                          </w:rPr>
                          <w:t>wage</w:t>
                        </w:r>
                        <w:proofErr w:type="gramEnd"/>
                        <w:r>
                          <w:rPr>
                            <w:rFonts w:ascii="Calibri" w:hAnsi="Calibri" w:cs="Calibri"/>
                            <w:color w:val="000000"/>
                            <w:sz w:val="18"/>
                            <w:szCs w:val="18"/>
                          </w:rPr>
                          <w:t xml:space="preserve"> bill</w:t>
                        </w:r>
                      </w:p>
                    </w:txbxContent>
                  </v:textbox>
                </v:rect>
                <v:rect id="Rectangle 42" o:spid="_x0000_s1062" style="position:absolute;left:10566;top:15244;width:7423;height:25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vAlcMA&#10;AADcAAAADwAAAGRycy9kb3ducmV2LnhtbESPT2sCMRDF70K/Q5hCb5qthypbo5SCoMWLqx9g2Mz+&#10;oclkSVJ3/fadg+Bthvfmvd9sdpN36kYx9YENvC8KUMR1sD23Bq6X/XwNKmVkiy4wGbhTgt32ZbbB&#10;0oaRz3SrcqskhFOJBrqch1LrVHfkMS3CQCxaE6LHLGtstY04Srh3elkUH9pjz9LQ4UDfHdW/1Z83&#10;oC/VflxXLhbhZ9mc3PFwbigY8/Y6fX2CyjTlp/lxfbCCvxJa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vAlcMAAADcAAAADwAAAAAAAAAAAAAAAACYAgAAZHJzL2Rv&#10;d25yZXYueG1sUEsFBgAAAAAEAAQA9QAAAIgDAAAAAA==&#10;" filled="f" stroked="f">
                  <v:textbox style="mso-fit-shape-to-text:t" inset="0,0,0,0">
                    <w:txbxContent>
                      <w:p w:rsidR="00DF20A2" w:rsidRDefault="00DF20A2" w:rsidP="00426A6F">
                        <w:r>
                          <w:rPr>
                            <w:rFonts w:ascii="Calibri" w:hAnsi="Calibri" w:cs="Calibri"/>
                            <w:color w:val="000000"/>
                            <w:sz w:val="18"/>
                            <w:szCs w:val="18"/>
                          </w:rPr>
                          <w:t xml:space="preserve">Civil service and </w:t>
                        </w:r>
                      </w:p>
                    </w:txbxContent>
                  </v:textbox>
                </v:rect>
                <v:rect id="Rectangle 43" o:spid="_x0000_s1063" style="position:absolute;left:10566;top:16611;width:7689;height:25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dlDr8A&#10;AADcAAAADwAAAGRycy9kb3ducmV2LnhtbERPzYrCMBC+L/gOYQRva6oHV6tRRBBU9mL1AYZm+oPJ&#10;pCRZ2317IyzsbT6+39nsBmvEk3xoHSuYTTMQxKXTLdcK7rfj5xJEiMgajWNS8EsBdtvRxwZz7Xq+&#10;0rOItUghHHJU0MTY5VKGsiGLYeo64sRVzluMCfpaao99CrdGzrNsIS22nBoa7OjQUPkofqwCeSuO&#10;/bIwPnOXefVtzqdrRU6pyXjYr0FEGuK/+M990mn+1wrez6QL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hJ2UOvwAAANwAAAAPAAAAAAAAAAAAAAAAAJgCAABkcnMvZG93bnJl&#10;di54bWxQSwUGAAAAAAQABAD1AAAAhAMAAAAA&#10;" filled="f" stroked="f">
                  <v:textbox style="mso-fit-shape-to-text:t" inset="0,0,0,0">
                    <w:txbxContent>
                      <w:p w:rsidR="00DF20A2" w:rsidRDefault="00DF20A2" w:rsidP="00426A6F">
                        <w:r>
                          <w:rPr>
                            <w:rFonts w:ascii="Calibri" w:hAnsi="Calibri" w:cs="Calibri"/>
                            <w:color w:val="000000"/>
                            <w:sz w:val="18"/>
                            <w:szCs w:val="18"/>
                          </w:rPr>
                          <w:t>Security services</w:t>
                        </w:r>
                      </w:p>
                    </w:txbxContent>
                  </v:textbox>
                </v:rect>
                <v:rect id="Rectangle 44" o:spid="_x0000_s1064" style="position:absolute;left:10121;top:17837;width:8959;height:25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i8tMMA&#10;AADcAAAADwAAAGRycy9kb3ducmV2LnhtbESPzWoDMQyE74G8g1Ght8TbHMKyjRNKIZCGXLLpA4i1&#10;9ofa8mI72e3bR4dCbxIzmvm0O8zeqQfFNAQ28LYuQBE3wQ7cGfi+HVclqJSRLbrAZOCXEhz2y8UO&#10;KxsmvtKjzp2SEE4VGuhzHiutU9OTx7QOI7FobYges6yx0zbiJOHe6U1RbLXHgaWhx5E+e2p+6rs3&#10;oG/1cSprF4tw3rQX93W6thSMeX2ZP95BZZrzv/nv+mQFvxR8eUYm0P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i8tMMAAADcAAAADwAAAAAAAAAAAAAAAACYAgAAZHJzL2Rv&#10;d25yZXYueG1sUEsFBgAAAAAEAAQA9QAAAIgDAAAAAA==&#10;" filled="f" stroked="f">
                  <v:textbox style="mso-fit-shape-to-text:t" inset="0,0,0,0">
                    <w:txbxContent>
                      <w:p w:rsidR="00DF20A2" w:rsidRDefault="00DF20A2" w:rsidP="00426A6F">
                        <w:r>
                          <w:rPr>
                            <w:rFonts w:ascii="Calibri" w:hAnsi="Calibri" w:cs="Calibri"/>
                            <w:color w:val="000000"/>
                            <w:sz w:val="18"/>
                            <w:szCs w:val="18"/>
                          </w:rPr>
                          <w:t xml:space="preserve">16 percent of wage </w:t>
                        </w:r>
                      </w:p>
                    </w:txbxContent>
                  </v:textbox>
                </v:rect>
                <v:rect id="Rectangle 45" o:spid="_x0000_s1065" style="position:absolute;left:10718;top:19193;width:7429;height:25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QZL78A&#10;AADcAAAADwAAAGRycy9kb3ducmV2LnhtbERPzYrCMBC+L/gOYQRv21QPUqpRRBB02Yt1H2Bopj+Y&#10;TEoSbfftN4Kwt/n4fme7n6wRT/Khd6xgmeUgiGune24V/NxOnwWIEJE1Gsek4JcC7Hezjy2W2o18&#10;pWcVW5FCOJSooItxKKUMdUcWQ+YG4sQ1zluMCfpWao9jCrdGrvJ8LS32nBo6HOjYUX2vHlaBvFWn&#10;saiMz93Xqvk2l/O1IafUYj4dNiAiTfFf/HafdZpfLOH1TLp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hBkvvwAAANwAAAAPAAAAAAAAAAAAAAAAAJgCAABkcnMvZG93bnJl&#10;di54bWxQSwUGAAAAAAQABAD1AAAAhAMAAAAA&#10;" filled="f" stroked="f">
                  <v:textbox style="mso-fit-shape-to-text:t" inset="0,0,0,0">
                    <w:txbxContent>
                      <w:p w:rsidR="00DF20A2" w:rsidRDefault="00DF20A2" w:rsidP="00426A6F">
                        <w:proofErr w:type="gramStart"/>
                        <w:r>
                          <w:rPr>
                            <w:rFonts w:ascii="Calibri" w:hAnsi="Calibri" w:cs="Calibri"/>
                            <w:color w:val="000000"/>
                            <w:sz w:val="18"/>
                            <w:szCs w:val="18"/>
                          </w:rPr>
                          <w:t>bill</w:t>
                        </w:r>
                        <w:proofErr w:type="gramEnd"/>
                        <w:r>
                          <w:rPr>
                            <w:rFonts w:ascii="Calibri" w:hAnsi="Calibri" w:cs="Calibri"/>
                            <w:color w:val="000000"/>
                            <w:sz w:val="18"/>
                            <w:szCs w:val="18"/>
                          </w:rPr>
                          <w:t xml:space="preserve"> for DB and 6 </w:t>
                        </w:r>
                      </w:p>
                    </w:txbxContent>
                  </v:textbox>
                </v:rect>
                <v:rect id="Rectangle 46" o:spid="_x0000_s1066" style="position:absolute;left:10864;top:20561;width:6788;height:25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aHWL8A&#10;AADcAAAADwAAAGRycy9kb3ducmV2LnhtbERPzYrCMBC+L/gOYQRva7o9SKlGkQVBFy/WfYChmf5g&#10;MilJtN23N4Kwt/n4fmezm6wRD/Khd6zga5mBIK6d7rlV8Hs9fBYgQkTWaByTgj8KsNvOPjZYajfy&#10;hR5VbEUK4VCigi7GoZQy1B1ZDEs3ECeucd5iTNC3UnscU7g1Ms+ylbTYc2rocKDvjupbdbcK5LU6&#10;jEVlfOZ+8uZsTsdLQ06pxXzar0FEmuK/+O0+6jS/yOH1TLpAb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VodYvwAAANwAAAAPAAAAAAAAAAAAAAAAAJgCAABkcnMvZG93bnJl&#10;di54bWxQSwUGAAAAAAQABAD1AAAAhAMAAAAA&#10;" filled="f" stroked="f">
                  <v:textbox style="mso-fit-shape-to-text:t" inset="0,0,0,0">
                    <w:txbxContent>
                      <w:p w:rsidR="00DF20A2" w:rsidRDefault="00DF20A2" w:rsidP="00426A6F">
                        <w:proofErr w:type="gramStart"/>
                        <w:r>
                          <w:rPr>
                            <w:rFonts w:ascii="Calibri" w:hAnsi="Calibri" w:cs="Calibri"/>
                            <w:color w:val="000000"/>
                            <w:sz w:val="18"/>
                            <w:szCs w:val="18"/>
                          </w:rPr>
                          <w:t>percent</w:t>
                        </w:r>
                        <w:proofErr w:type="gramEnd"/>
                        <w:r>
                          <w:rPr>
                            <w:rFonts w:ascii="Calibri" w:hAnsi="Calibri" w:cs="Calibri"/>
                            <w:color w:val="000000"/>
                            <w:sz w:val="18"/>
                            <w:szCs w:val="18"/>
                          </w:rPr>
                          <w:t xml:space="preserve"> for DC </w:t>
                        </w:r>
                      </w:p>
                    </w:txbxContent>
                  </v:textbox>
                </v:rect>
                <v:rect id="Rectangle 47" o:spid="_x0000_s1067" style="position:absolute;left:10420;top:25865;width:7099;height:25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oiw78A&#10;AADcAAAADwAAAGRycy9kb3ducmV2LnhtbERP24rCMBB9X/Afwgi+rakuLK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GiLDvwAAANwAAAAPAAAAAAAAAAAAAAAAAJgCAABkcnMvZG93bnJl&#10;di54bWxQSwUGAAAAAAQABAD1AAAAhAMAAAAA&#10;" filled="f" stroked="f">
                  <v:textbox style="mso-fit-shape-to-text:t" inset="0,0,0,0">
                    <w:txbxContent>
                      <w:p w:rsidR="00DF20A2" w:rsidRDefault="00DF20A2" w:rsidP="00426A6F">
                        <w:r>
                          <w:rPr>
                            <w:rFonts w:ascii="Calibri" w:hAnsi="Calibri" w:cs="Calibri"/>
                            <w:color w:val="000000"/>
                            <w:sz w:val="18"/>
                            <w:szCs w:val="18"/>
                          </w:rPr>
                          <w:t xml:space="preserve">22.5 percent of </w:t>
                        </w:r>
                      </w:p>
                    </w:txbxContent>
                  </v:textbox>
                </v:rect>
                <v:rect id="Rectangle 48" o:spid="_x0000_s1068" style="position:absolute;left:12058;top:27224;width:4318;height:25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O6t78A&#10;AADcAAAADwAAAGRycy9kb3ducmV2LnhtbERP24rCMBB9X/Afwgi+ramyLK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87q3vwAAANwAAAAPAAAAAAAAAAAAAAAAAJgCAABkcnMvZG93bnJl&#10;di54bWxQSwUGAAAAAAQABAD1AAAAhAMAAAAA&#10;" filled="f" stroked="f">
                  <v:textbox style="mso-fit-shape-to-text:t" inset="0,0,0,0">
                    <w:txbxContent>
                      <w:p w:rsidR="00DF20A2" w:rsidRDefault="00DF20A2" w:rsidP="00426A6F">
                        <w:r>
                          <w:rPr>
                            <w:rFonts w:ascii="Calibri" w:hAnsi="Calibri" w:cs="Calibri"/>
                            <w:color w:val="000000"/>
                            <w:sz w:val="18"/>
                            <w:szCs w:val="18"/>
                          </w:rPr>
                          <w:t>Wage bill</w:t>
                        </w:r>
                      </w:p>
                    </w:txbxContent>
                  </v:textbox>
                </v:rect>
                <v:rect id="Rectangle 49" o:spid="_x0000_s1069" style="position:absolute;left:12204;top:31997;width:5651;height:25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8fLL8A&#10;AADcAAAADwAAAGRycy9kb3ducmV2LnhtbERP24rCMBB9X/Afwgi+ranCLq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vx8svwAAANwAAAAPAAAAAAAAAAAAAAAAAJgCAABkcnMvZG93bnJl&#10;di54bWxQSwUGAAAAAAQABAD1AAAAhAMAAAAA&#10;" filled="f" stroked="f">
                  <v:textbox style="mso-fit-shape-to-text:t" inset="0,0,0,0">
                    <w:txbxContent>
                      <w:p w:rsidR="00DF20A2" w:rsidRDefault="00DF20A2" w:rsidP="00426A6F">
                        <w:r>
                          <w:rPr>
                            <w:rFonts w:ascii="Calibri" w:hAnsi="Calibri" w:cs="Calibri"/>
                            <w:color w:val="000000"/>
                            <w:sz w:val="18"/>
                            <w:szCs w:val="18"/>
                          </w:rPr>
                          <w:t xml:space="preserve">2 percent of </w:t>
                        </w:r>
                      </w:p>
                    </w:txbxContent>
                  </v:textbox>
                </v:rect>
                <v:rect id="Rectangle 50" o:spid="_x0000_s1070" style="position:absolute;left:12947;top:33351;width:4318;height:25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2BW74A&#10;AADcAAAADwAAAGRycy9kb3ducmV2LnhtbERPzYrCMBC+L/gOYYS9rakepHSNIoKgsherDzA00x82&#10;mZQk2vr2RhC8zcf3O6vNaI24kw+dYwXzWQaCuHK640bB9bL/yUGEiKzROCYFDwqwWU++VlhoN/CZ&#10;7mVsRArhUKCCNsa+kDJULVkMM9cTJ6523mJM0DdSexxSuDVykWVLabHj1NBiT7uWqv/yZhXIS7kf&#10;8tL4zJ0W9Z85Hs41OaW+p+P2F0SkMX7Eb/dBp/n5El7PpAvk+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VtgVu+AAAA3AAAAA8AAAAAAAAAAAAAAAAAmAIAAGRycy9kb3ducmV2&#10;LnhtbFBLBQYAAAAABAAEAPUAAACDAwAAAAA=&#10;" filled="f" stroked="f">
                  <v:textbox style="mso-fit-shape-to-text:t" inset="0,0,0,0">
                    <w:txbxContent>
                      <w:p w:rsidR="00DF20A2" w:rsidRDefault="00DF20A2" w:rsidP="00426A6F">
                        <w:r>
                          <w:rPr>
                            <w:rFonts w:ascii="Calibri" w:hAnsi="Calibri" w:cs="Calibri"/>
                            <w:color w:val="000000"/>
                            <w:sz w:val="18"/>
                            <w:szCs w:val="18"/>
                          </w:rPr>
                          <w:t>Wage bill</w:t>
                        </w:r>
                      </w:p>
                    </w:txbxContent>
                  </v:textbox>
                </v:rect>
                <w10:anchorlock/>
              </v:group>
            </w:pict>
          </mc:Fallback>
        </mc:AlternateContent>
      </w:r>
    </w:p>
    <w:p w14:paraId="6D708386" w14:textId="77777777" w:rsidR="00426A6F" w:rsidRPr="00426A6F" w:rsidRDefault="00426A6F" w:rsidP="00426A6F">
      <w:pPr>
        <w:keepNext/>
        <w:keepLines/>
        <w:spacing w:after="0" w:line="240" w:lineRule="auto"/>
        <w:jc w:val="both"/>
        <w:rPr>
          <w:rFonts w:ascii="Calibri" w:eastAsia="Calibri" w:hAnsi="Calibri" w:cs="Times New Roman"/>
          <w:sz w:val="20"/>
          <w:szCs w:val="20"/>
        </w:rPr>
      </w:pPr>
      <w:r w:rsidRPr="00426A6F">
        <w:rPr>
          <w:rFonts w:ascii="Calibri" w:eastAsia="Calibri" w:hAnsi="Calibri" w:cs="Times New Roman"/>
          <w:i/>
          <w:sz w:val="20"/>
          <w:szCs w:val="20"/>
        </w:rPr>
        <w:t>Source</w:t>
      </w:r>
      <w:r w:rsidRPr="00426A6F">
        <w:rPr>
          <w:rFonts w:ascii="Calibri" w:eastAsia="Calibri" w:hAnsi="Calibri" w:cs="Times New Roman"/>
          <w:sz w:val="20"/>
          <w:szCs w:val="20"/>
        </w:rPr>
        <w:t>: PPA.</w:t>
      </w:r>
    </w:p>
    <w:p w14:paraId="10729BED" w14:textId="77777777" w:rsidR="00426A6F" w:rsidRPr="00426A6F" w:rsidRDefault="00426A6F" w:rsidP="00426A6F">
      <w:pPr>
        <w:spacing w:after="0" w:line="240" w:lineRule="auto"/>
        <w:ind w:right="1080"/>
        <w:jc w:val="center"/>
        <w:rPr>
          <w:rFonts w:ascii="Times New Roman" w:eastAsia="Times New Roman" w:hAnsi="Times New Roman" w:cs="Times New Roman"/>
          <w:b/>
          <w:bCs/>
        </w:rPr>
      </w:pPr>
    </w:p>
    <w:p w14:paraId="17D48A79" w14:textId="77777777" w:rsidR="00426A6F" w:rsidRPr="00426A6F" w:rsidRDefault="00426A6F" w:rsidP="00426A6F">
      <w:pPr>
        <w:keepNext/>
        <w:spacing w:after="0" w:line="240" w:lineRule="auto"/>
        <w:jc w:val="center"/>
        <w:rPr>
          <w:iCs/>
        </w:rPr>
      </w:pPr>
      <w:bookmarkStart w:id="17" w:name="_Ref422156575"/>
      <w:bookmarkStart w:id="18" w:name="_Toc422385115"/>
      <w:r w:rsidRPr="00426A6F">
        <w:rPr>
          <w:b/>
          <w:iCs/>
        </w:rPr>
        <w:t xml:space="preserve">Table </w:t>
      </w:r>
      <w:r w:rsidRPr="00426A6F">
        <w:rPr>
          <w:b/>
          <w:iCs/>
        </w:rPr>
        <w:fldChar w:fldCharType="begin"/>
      </w:r>
      <w:r w:rsidRPr="00426A6F">
        <w:rPr>
          <w:b/>
          <w:iCs/>
        </w:rPr>
        <w:instrText xml:space="preserve"> SEQ Table \* ARABIC </w:instrText>
      </w:r>
      <w:r w:rsidRPr="00426A6F">
        <w:rPr>
          <w:b/>
          <w:iCs/>
        </w:rPr>
        <w:fldChar w:fldCharType="separate"/>
      </w:r>
      <w:r w:rsidRPr="00426A6F">
        <w:rPr>
          <w:b/>
          <w:iCs/>
          <w:noProof/>
        </w:rPr>
        <w:t>23</w:t>
      </w:r>
      <w:r w:rsidRPr="00426A6F">
        <w:rPr>
          <w:b/>
          <w:iCs/>
          <w:noProof/>
        </w:rPr>
        <w:fldChar w:fldCharType="end"/>
      </w:r>
      <w:bookmarkEnd w:id="17"/>
      <w:r w:rsidRPr="00426A6F">
        <w:rPr>
          <w:b/>
          <w:iCs/>
        </w:rPr>
        <w:t>: Collected contributions and transfers from PA/MoF to PPA, December 2013</w:t>
      </w:r>
      <w:bookmarkEnd w:id="18"/>
    </w:p>
    <w:p w14:paraId="4FD10059" w14:textId="77777777" w:rsidR="00426A6F" w:rsidRPr="00426A6F" w:rsidRDefault="00426A6F" w:rsidP="00426A6F">
      <w:pPr>
        <w:spacing w:after="0" w:line="240" w:lineRule="auto"/>
        <w:jc w:val="both"/>
        <w:rPr>
          <w:rFonts w:ascii="Times New Roman" w:eastAsia="Times New Roman" w:hAnsi="Times New Roman" w:cs="Times New Roman"/>
          <w:bCs/>
        </w:rPr>
      </w:pPr>
      <w:r w:rsidRPr="00426A6F">
        <w:rPr>
          <w:rFonts w:ascii="Times New Roman" w:eastAsia="Times New Roman" w:hAnsi="Times New Roman" w:cs="Times New Roman"/>
          <w:noProof/>
        </w:rPr>
        <w:drawing>
          <wp:inline distT="0" distB="0" distL="0" distR="0" wp14:anchorId="17E9B5B8" wp14:editId="7BED0080">
            <wp:extent cx="6191885" cy="270930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02562" cy="2713974"/>
                    </a:xfrm>
                    <a:prstGeom prst="rect">
                      <a:avLst/>
                    </a:prstGeom>
                    <a:noFill/>
                    <a:ln>
                      <a:noFill/>
                    </a:ln>
                  </pic:spPr>
                </pic:pic>
              </a:graphicData>
            </a:graphic>
          </wp:inline>
        </w:drawing>
      </w:r>
    </w:p>
    <w:p w14:paraId="20073F9C" w14:textId="77777777" w:rsidR="00426A6F" w:rsidRPr="00426A6F" w:rsidRDefault="00426A6F" w:rsidP="00426A6F">
      <w:pPr>
        <w:keepNext/>
        <w:keepLines/>
        <w:spacing w:after="0" w:line="240" w:lineRule="auto"/>
        <w:jc w:val="both"/>
        <w:rPr>
          <w:rFonts w:ascii="Calibri" w:eastAsia="Calibri" w:hAnsi="Calibri" w:cs="Times New Roman"/>
          <w:sz w:val="20"/>
          <w:szCs w:val="20"/>
        </w:rPr>
      </w:pPr>
      <w:r w:rsidRPr="00426A6F">
        <w:rPr>
          <w:rFonts w:ascii="Calibri" w:eastAsia="Calibri" w:hAnsi="Calibri" w:cs="Times New Roman"/>
          <w:i/>
          <w:sz w:val="20"/>
          <w:szCs w:val="20"/>
        </w:rPr>
        <w:t>Source</w:t>
      </w:r>
      <w:r w:rsidRPr="00426A6F">
        <w:rPr>
          <w:rFonts w:ascii="Calibri" w:eastAsia="Calibri" w:hAnsi="Calibri" w:cs="Times New Roman"/>
          <w:sz w:val="20"/>
          <w:szCs w:val="20"/>
        </w:rPr>
        <w:t>: PPA.</w:t>
      </w:r>
    </w:p>
    <w:p w14:paraId="511FFF04" w14:textId="77777777" w:rsidR="00426A6F" w:rsidRPr="00426A6F" w:rsidRDefault="00426A6F" w:rsidP="00426A6F">
      <w:pPr>
        <w:spacing w:after="0" w:line="240" w:lineRule="auto"/>
        <w:jc w:val="both"/>
        <w:rPr>
          <w:rFonts w:ascii="Times New Roman" w:eastAsia="Times New Roman" w:hAnsi="Times New Roman" w:cs="Times New Roman"/>
        </w:rPr>
      </w:pPr>
    </w:p>
    <w:p w14:paraId="538710E5" w14:textId="77777777" w:rsidR="00426A6F" w:rsidRPr="00426A6F" w:rsidRDefault="00426A6F" w:rsidP="00426A6F">
      <w:pPr>
        <w:jc w:val="both"/>
      </w:pPr>
      <w:r w:rsidRPr="00426A6F">
        <w:rPr>
          <w:b/>
        </w:rPr>
        <w:t>Arrears combined with an overly generous benefit formula and early retirement provisions place severe financial constraints on the pension system, and make it unsustainable.</w:t>
      </w:r>
      <w:r w:rsidRPr="00426A6F">
        <w:t xml:space="preserve"> The PPA currently faces a critical financial crisis because it has continued to consistently pay pension benefits even though contributions to </w:t>
      </w:r>
      <w:r w:rsidRPr="00426A6F">
        <w:lastRenderedPageBreak/>
        <w:t>the system have been highly sporadic. The PPA has tried to widen the system’s coverage to include the non-governmental and private sectors, aiming to increase the level of contributions. This activity is not recommended at this stage; the focus should instead be on parametric reforms.</w:t>
      </w:r>
    </w:p>
    <w:p w14:paraId="7FA0163A" w14:textId="77777777" w:rsidR="00426A6F" w:rsidRPr="00426A6F" w:rsidRDefault="00426A6F" w:rsidP="00426A6F">
      <w:pPr>
        <w:jc w:val="both"/>
      </w:pPr>
      <w:r w:rsidRPr="00426A6F">
        <w:t xml:space="preserve"> </w:t>
      </w:r>
      <w:r w:rsidRPr="00426A6F">
        <w:rPr>
          <w:rFonts w:ascii="Times New Roman" w:eastAsia="Times New Roman" w:hAnsi="Times New Roman" w:cs="Times New Roman"/>
          <w:b/>
          <w:noProof/>
          <w:color w:val="1F497D"/>
        </w:rPr>
        <mc:AlternateContent>
          <mc:Choice Requires="wps">
            <w:drawing>
              <wp:inline distT="0" distB="0" distL="0" distR="0" wp14:anchorId="4E39293B" wp14:editId="01EFAAA8">
                <wp:extent cx="5943600" cy="6721522"/>
                <wp:effectExtent l="0" t="0" r="19050" b="22225"/>
                <wp:docPr id="187" name="Text Box 187"/>
                <wp:cNvGraphicFramePr/>
                <a:graphic xmlns:a="http://schemas.openxmlformats.org/drawingml/2006/main">
                  <a:graphicData uri="http://schemas.microsoft.com/office/word/2010/wordprocessingShape">
                    <wps:wsp>
                      <wps:cNvSpPr txBox="1"/>
                      <wps:spPr>
                        <a:xfrm>
                          <a:off x="0" y="0"/>
                          <a:ext cx="5943600" cy="6721522"/>
                        </a:xfrm>
                        <a:prstGeom prst="rect">
                          <a:avLst/>
                        </a:prstGeom>
                        <a:solidFill>
                          <a:sysClr val="window" lastClr="FFFFFF">
                            <a:lumMod val="95000"/>
                          </a:sysClr>
                        </a:solidFill>
                        <a:ln w="6350">
                          <a:solidFill>
                            <a:prstClr val="black"/>
                          </a:solidFill>
                        </a:ln>
                        <a:effectLst/>
                      </wps:spPr>
                      <wps:txbx>
                        <w:txbxContent>
                          <w:p w14:paraId="47BA481B" w14:textId="77777777" w:rsidR="00DF20A2" w:rsidRPr="006D2633" w:rsidRDefault="00DF20A2" w:rsidP="00426A6F">
                            <w:pPr>
                              <w:pStyle w:val="Caption"/>
                              <w:rPr>
                                <w:sz w:val="20"/>
                                <w:szCs w:val="20"/>
                              </w:rPr>
                            </w:pPr>
                            <w:bookmarkStart w:id="19" w:name="_Toc422384980"/>
                            <w:r w:rsidRPr="006D2633">
                              <w:rPr>
                                <w:sz w:val="20"/>
                                <w:szCs w:val="20"/>
                              </w:rPr>
                              <w:t xml:space="preserve">Box </w:t>
                            </w:r>
                            <w:r w:rsidRPr="006D2633">
                              <w:rPr>
                                <w:sz w:val="20"/>
                                <w:szCs w:val="20"/>
                              </w:rPr>
                              <w:fldChar w:fldCharType="begin"/>
                            </w:r>
                            <w:r w:rsidRPr="006D2633">
                              <w:rPr>
                                <w:sz w:val="20"/>
                                <w:szCs w:val="20"/>
                              </w:rPr>
                              <w:instrText xml:space="preserve"> SEQ Box \* ARABIC </w:instrText>
                            </w:r>
                            <w:r w:rsidRPr="006D2633">
                              <w:rPr>
                                <w:sz w:val="20"/>
                                <w:szCs w:val="20"/>
                              </w:rPr>
                              <w:fldChar w:fldCharType="separate"/>
                            </w:r>
                            <w:r w:rsidRPr="006D2633">
                              <w:rPr>
                                <w:noProof/>
                                <w:sz w:val="20"/>
                                <w:szCs w:val="20"/>
                              </w:rPr>
                              <w:t>3</w:t>
                            </w:r>
                            <w:r w:rsidRPr="006D2633">
                              <w:rPr>
                                <w:noProof/>
                                <w:sz w:val="20"/>
                                <w:szCs w:val="20"/>
                              </w:rPr>
                              <w:fldChar w:fldCharType="end"/>
                            </w:r>
                            <w:r w:rsidRPr="006D2633">
                              <w:rPr>
                                <w:sz w:val="20"/>
                                <w:szCs w:val="20"/>
                              </w:rPr>
                              <w:t>: History of Reforms in the Palestinian Territories</w:t>
                            </w:r>
                            <w:bookmarkEnd w:id="19"/>
                          </w:p>
                          <w:p w14:paraId="506D0807" w14:textId="77777777" w:rsidR="00DF20A2" w:rsidRPr="006D2633" w:rsidRDefault="00DF20A2" w:rsidP="00426A6F">
                            <w:pPr>
                              <w:spacing w:before="240"/>
                              <w:rPr>
                                <w:sz w:val="20"/>
                                <w:szCs w:val="20"/>
                              </w:rPr>
                            </w:pPr>
                            <w:r w:rsidRPr="006D2633">
                              <w:rPr>
                                <w:sz w:val="20"/>
                                <w:szCs w:val="20"/>
                              </w:rPr>
                              <w:t>The UPL, also known as Scheme II, was enacted in 2005 and all government employees, including civil and security services who were less than 46 years of age at that time, were enrolled into this scheme. It was designed to have two pillars: a defined-benefit (DB) and a funded defined contribution (DC), but the latter was never put in place. The old schemes and their beneficiaries were grandfathered and reserves from Scheme II have been financing pensions paid under the old schemes.</w:t>
                            </w:r>
                          </w:p>
                          <w:p w14:paraId="01D9D4AE" w14:textId="77777777" w:rsidR="00DF20A2" w:rsidRPr="006D2633" w:rsidRDefault="00DF20A2" w:rsidP="00426A6F">
                            <w:pPr>
                              <w:rPr>
                                <w:rFonts w:cs="Times New Roman"/>
                                <w:color w:val="1F497D"/>
                                <w:sz w:val="20"/>
                                <w:szCs w:val="20"/>
                              </w:rPr>
                            </w:pPr>
                            <w:r w:rsidRPr="006D2633">
                              <w:rPr>
                                <w:rFonts w:cs="Times New Roman"/>
                                <w:sz w:val="20"/>
                                <w:szCs w:val="20"/>
                              </w:rPr>
                              <w:t>In 2008, the PA adopted the Palestinian Reform and Development Plan (PRDP) 2008-2011 in which the PA committed, among other things, to the preparation of a pension reform action plan covering administrative and parametric changes to drive the pension system on the path of fiscal sustainability.</w:t>
                            </w:r>
                          </w:p>
                          <w:p w14:paraId="1CC0CC6A" w14:textId="77777777" w:rsidR="00DF20A2" w:rsidRPr="006D2633" w:rsidRDefault="00DF20A2" w:rsidP="00426A6F">
                            <w:pPr>
                              <w:rPr>
                                <w:rStyle w:val="Emphasis"/>
                                <w:rFonts w:cs="Times New Roman"/>
                                <w:i/>
                                <w:iCs/>
                                <w:sz w:val="20"/>
                                <w:szCs w:val="20"/>
                              </w:rPr>
                            </w:pPr>
                            <w:r w:rsidRPr="006D2633">
                              <w:rPr>
                                <w:rFonts w:cs="Times New Roman"/>
                                <w:sz w:val="20"/>
                                <w:szCs w:val="20"/>
                              </w:rPr>
                              <w:t xml:space="preserve">In 2009, the MoF issued a decree requiring all civil servants to remain in each grade for a minimum of five years before being eligible for promotion and in the case of security services personnel, a minimum of four years. All pensions as of January 1, 2009, were calculated using the average of three </w:t>
                            </w:r>
                            <w:r w:rsidRPr="006D2633">
                              <w:rPr>
                                <w:rStyle w:val="Emphasis"/>
                                <w:rFonts w:cs="Times New Roman"/>
                                <w:b w:val="0"/>
                                <w:sz w:val="20"/>
                                <w:szCs w:val="20"/>
                              </w:rPr>
                              <w:t>years of wages to determine the pensionable salary. As such, artificial end-of-career salary increases, which have a negative effect on pension liabilities, were eliminated.</w:t>
                            </w:r>
                          </w:p>
                          <w:p w14:paraId="2B6EB0A4" w14:textId="77777777" w:rsidR="00DF20A2" w:rsidRPr="006D2633" w:rsidRDefault="00DF20A2" w:rsidP="00426A6F">
                            <w:pPr>
                              <w:rPr>
                                <w:rFonts w:cs="Times New Roman"/>
                                <w:b/>
                                <w:sz w:val="20"/>
                                <w:szCs w:val="20"/>
                              </w:rPr>
                            </w:pPr>
                            <w:r w:rsidRPr="006D2633">
                              <w:rPr>
                                <w:rFonts w:cs="Times New Roman"/>
                                <w:sz w:val="20"/>
                                <w:szCs w:val="20"/>
                              </w:rPr>
                              <w:t>In July 2010, the Council of Ministers approved an action plan aimed at reducing the heavy burden that the pension system imposes on the budget. The plan, however, only consisted of small measures that were likely to produce desirable effects in the short-term, but were not enough to ensure long-term sustainability. The plan included a set of administrative reforms to strengthen the institutional capacity of the PPA in addition to a number of parametric changes aimed at improving the financial performance and fairness of the existing pension schemes.</w:t>
                            </w:r>
                            <w:r w:rsidRPr="006D2633">
                              <w:rPr>
                                <w:rFonts w:cs="Times New Roman"/>
                                <w:b/>
                                <w:sz w:val="20"/>
                                <w:szCs w:val="20"/>
                              </w:rPr>
                              <w:t xml:space="preserve"> </w:t>
                            </w:r>
                          </w:p>
                          <w:p w14:paraId="507B3B8D" w14:textId="77777777" w:rsidR="00DF20A2" w:rsidRPr="006D2633" w:rsidRDefault="00DF20A2" w:rsidP="00426A6F">
                            <w:pPr>
                              <w:rPr>
                                <w:rFonts w:cs="Times New Roman"/>
                                <w:sz w:val="20"/>
                                <w:szCs w:val="20"/>
                              </w:rPr>
                            </w:pPr>
                            <w:r w:rsidRPr="006D2633">
                              <w:rPr>
                                <w:rFonts w:cs="Times New Roman"/>
                                <w:sz w:val="20"/>
                                <w:szCs w:val="20"/>
                              </w:rPr>
                              <w:t xml:space="preserve">Parametric reforms covered by the plan included: i) Increasing the mandatory retirement age from 60 to 62; ii) early retirement would only be allowed if pensions are reduced according to an actuarially fair coefficient to be produced by the World Bank; iii) lump sums for those who contributed to Scheme I for more than 28 years would be calculated using the same average salary as the one used to calculate regular pensions; iv) buying additional years of contributions would only apply with a limit of up to 3 years at the time of retirement for Schemes I, III, IV; v) new entrants to Scheme II would be allowed to purchase voluntary contributions of up to 5 years in advance within the first year of joining the system; vi) pensions would be indexed to the CPI published by the Palestinian Central Bureau of Statistics; and vii) the DC component of Scheme II would be modified to introduce notional accounts instead of funded accounts as currently stipulated by the law. Please see Annex V for a detailed explanation of notional defined contribution (NDC) plans. </w:t>
                            </w:r>
                          </w:p>
                          <w:p w14:paraId="22A85E00" w14:textId="77777777" w:rsidR="00DF20A2" w:rsidRPr="00CE6022" w:rsidRDefault="00DF20A2" w:rsidP="00426A6F">
                            <w:pPr>
                              <w:rPr>
                                <w:rFonts w:cs="Times New Roman"/>
                              </w:rPr>
                            </w:pPr>
                            <w:r w:rsidRPr="006D2633">
                              <w:rPr>
                                <w:rFonts w:cs="Times New Roman"/>
                                <w:sz w:val="20"/>
                                <w:szCs w:val="20"/>
                              </w:rPr>
                              <w:t xml:space="preserve">Progress made in the implementation of the reform action plan was uneven. Most of the administrative reforms were implemented, leading to an overall improvement in the organizational aspects of the PPA. However, none of the parametric reforms were carried out since those required commitment and actions from the PPA in addition to the Cabinet, the MoF, and other actors. The </w:t>
                            </w:r>
                            <w:r w:rsidRPr="00DF20A2">
                              <w:rPr>
                                <w:rFonts w:cs="Times New Roman"/>
                                <w:sz w:val="20"/>
                                <w:szCs w:val="20"/>
                              </w:rPr>
                              <w:t>implementation of such reforms is still under discussion.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B78FF83" id="_x0000_t202" coordsize="21600,21600" o:spt="202" path="m,l,21600r21600,l21600,xe">
                <v:stroke joinstyle="miter"/>
                <v:path gradientshapeok="t" o:connecttype="rect"/>
              </v:shapetype>
              <v:shape id="Text Box 187" o:spid="_x0000_s1071" type="#_x0000_t202" style="width:468pt;height:5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" fillcolor="#f2f2f2" strokeweight=".5pt">
                <v:textbox>
                  <w:txbxContent>
                    <w:p w:rsidR="00DF20A2" w:rsidRPr="006D2633" w:rsidRDefault="00DF20A2" w:rsidP="00426A6F">
                      <w:pPr>
                        <w:pStyle w:val="Caption"/>
                        <w:rPr>
                          <w:sz w:val="20"/>
                          <w:szCs w:val="20"/>
                        </w:rPr>
                      </w:pPr>
                      <w:bookmarkStart w:id="20" w:name="_Toc422384980"/>
                      <w:r w:rsidRPr="006D2633">
                        <w:rPr>
                          <w:sz w:val="20"/>
                          <w:szCs w:val="20"/>
                        </w:rPr>
                        <w:t xml:space="preserve">Box </w:t>
                      </w:r>
                      <w:r w:rsidRPr="006D2633">
                        <w:rPr>
                          <w:sz w:val="20"/>
                          <w:szCs w:val="20"/>
                        </w:rPr>
                        <w:fldChar w:fldCharType="begin"/>
                      </w:r>
                      <w:r w:rsidRPr="006D2633">
                        <w:rPr>
                          <w:sz w:val="20"/>
                          <w:szCs w:val="20"/>
                        </w:rPr>
                        <w:instrText xml:space="preserve"> SEQ Box \* ARABIC </w:instrText>
                      </w:r>
                      <w:r w:rsidRPr="006D2633">
                        <w:rPr>
                          <w:sz w:val="20"/>
                          <w:szCs w:val="20"/>
                        </w:rPr>
                        <w:fldChar w:fldCharType="separate"/>
                      </w:r>
                      <w:r w:rsidRPr="006D2633">
                        <w:rPr>
                          <w:noProof/>
                          <w:sz w:val="20"/>
                          <w:szCs w:val="20"/>
                        </w:rPr>
                        <w:t>3</w:t>
                      </w:r>
                      <w:r w:rsidRPr="006D2633">
                        <w:rPr>
                          <w:noProof/>
                          <w:sz w:val="20"/>
                          <w:szCs w:val="20"/>
                        </w:rPr>
                        <w:fldChar w:fldCharType="end"/>
                      </w:r>
                      <w:r w:rsidRPr="006D2633">
                        <w:rPr>
                          <w:sz w:val="20"/>
                          <w:szCs w:val="20"/>
                        </w:rPr>
                        <w:t>: History of Reforms in the Palestinian Territories</w:t>
                      </w:r>
                      <w:bookmarkEnd w:id="20"/>
                    </w:p>
                    <w:p w:rsidR="00DF20A2" w:rsidRPr="006D2633" w:rsidRDefault="00DF20A2" w:rsidP="00426A6F">
                      <w:pPr>
                        <w:spacing w:before="240"/>
                        <w:rPr>
                          <w:sz w:val="20"/>
                          <w:szCs w:val="20"/>
                        </w:rPr>
                      </w:pPr>
                      <w:r w:rsidRPr="006D2633">
                        <w:rPr>
                          <w:sz w:val="20"/>
                          <w:szCs w:val="20"/>
                        </w:rPr>
                        <w:t>The UPL, also known as Scheme II, was enacted in 2005 and all government employees, including civil and security services who were less than 46 years of age at that time, were enrolled into this scheme. It was designed to have two pillars: a defined-benefit (DB) and a funded defined contribution (DC), but the latter was never put in place. The old schemes and their beneficiaries were grandfathered and reserves from Scheme II have been financing pensions paid under the old schemes.</w:t>
                      </w:r>
                    </w:p>
                    <w:p w:rsidR="00DF20A2" w:rsidRPr="006D2633" w:rsidRDefault="00DF20A2" w:rsidP="00426A6F">
                      <w:pPr>
                        <w:rPr>
                          <w:rFonts w:cs="Times New Roman"/>
                          <w:color w:val="1F497D"/>
                          <w:sz w:val="20"/>
                          <w:szCs w:val="20"/>
                        </w:rPr>
                      </w:pPr>
                      <w:r w:rsidRPr="006D2633">
                        <w:rPr>
                          <w:rFonts w:cs="Times New Roman"/>
                          <w:sz w:val="20"/>
                          <w:szCs w:val="20"/>
                        </w:rPr>
                        <w:t>In 2008, the PA adopted the Palestinian Reform and Development Plan (PRDP) 2008-2011 in which the PA committed, among other things, to the preparation of a pension reform action plan covering administrative and parametric changes to drive the pension system on the path of fiscal sustainability.</w:t>
                      </w:r>
                    </w:p>
                    <w:p w:rsidR="00DF20A2" w:rsidRPr="006D2633" w:rsidRDefault="00DF20A2" w:rsidP="00426A6F">
                      <w:pPr>
                        <w:rPr>
                          <w:rStyle w:val="Emphasis"/>
                          <w:rFonts w:cs="Times New Roman"/>
                          <w:i/>
                          <w:iCs/>
                          <w:sz w:val="20"/>
                          <w:szCs w:val="20"/>
                        </w:rPr>
                      </w:pPr>
                      <w:r w:rsidRPr="006D2633">
                        <w:rPr>
                          <w:rFonts w:cs="Times New Roman"/>
                          <w:sz w:val="20"/>
                          <w:szCs w:val="20"/>
                        </w:rPr>
                        <w:t xml:space="preserve">In 2009, the </w:t>
                      </w:r>
                      <w:proofErr w:type="spellStart"/>
                      <w:r w:rsidRPr="006D2633">
                        <w:rPr>
                          <w:rFonts w:cs="Times New Roman"/>
                          <w:sz w:val="20"/>
                          <w:szCs w:val="20"/>
                        </w:rPr>
                        <w:t>MoF</w:t>
                      </w:r>
                      <w:proofErr w:type="spellEnd"/>
                      <w:r w:rsidRPr="006D2633">
                        <w:rPr>
                          <w:rFonts w:cs="Times New Roman"/>
                          <w:sz w:val="20"/>
                          <w:szCs w:val="20"/>
                        </w:rPr>
                        <w:t xml:space="preserve"> issued a decree requiring all civil servants to remain in each grade for a minimum of five years before being eligible for promotion and in the case of security services personnel, a minimum of four years. All pensions as of January 1, 2009, were calculated using the average of three </w:t>
                      </w:r>
                      <w:r w:rsidRPr="006D2633">
                        <w:rPr>
                          <w:rStyle w:val="Emphasis"/>
                          <w:rFonts w:cs="Times New Roman"/>
                          <w:b w:val="0"/>
                          <w:sz w:val="20"/>
                          <w:szCs w:val="20"/>
                        </w:rPr>
                        <w:t>years of wages to determine the pensionable salary. As such, artificial end-of-career salary increases, which have a negative effect on pension liabilities, were eliminated.</w:t>
                      </w:r>
                    </w:p>
                    <w:p w:rsidR="00DF20A2" w:rsidRPr="006D2633" w:rsidRDefault="00DF20A2" w:rsidP="00426A6F">
                      <w:pPr>
                        <w:rPr>
                          <w:rFonts w:cs="Times New Roman"/>
                          <w:b/>
                          <w:sz w:val="20"/>
                          <w:szCs w:val="20"/>
                        </w:rPr>
                      </w:pPr>
                      <w:r w:rsidRPr="006D2633">
                        <w:rPr>
                          <w:rFonts w:cs="Times New Roman"/>
                          <w:sz w:val="20"/>
                          <w:szCs w:val="20"/>
                        </w:rPr>
                        <w:t>In July 2010, the Council of Ministers approved an action plan aimed at reducing the heavy burden that the pension system imposes on the budget. The plan, however, only consisted of small measures that were likely to produce desirable effects in the short-term, but were not enough to ensure long-term sustainability. The plan included a set of administrative reforms to strengthen the institutional capacity of the PPA in addition to a number of parametric changes aimed at improving the financial performance and fairness of the existing pension schemes.</w:t>
                      </w:r>
                      <w:r w:rsidRPr="006D2633">
                        <w:rPr>
                          <w:rFonts w:cs="Times New Roman"/>
                          <w:b/>
                          <w:sz w:val="20"/>
                          <w:szCs w:val="20"/>
                        </w:rPr>
                        <w:t xml:space="preserve"> </w:t>
                      </w:r>
                    </w:p>
                    <w:p w:rsidR="00DF20A2" w:rsidRPr="006D2633" w:rsidRDefault="00DF20A2" w:rsidP="00426A6F">
                      <w:pPr>
                        <w:rPr>
                          <w:rFonts w:cs="Times New Roman"/>
                          <w:sz w:val="20"/>
                          <w:szCs w:val="20"/>
                        </w:rPr>
                      </w:pPr>
                      <w:r w:rsidRPr="006D2633">
                        <w:rPr>
                          <w:rFonts w:cs="Times New Roman"/>
                          <w:sz w:val="20"/>
                          <w:szCs w:val="20"/>
                        </w:rPr>
                        <w:t xml:space="preserve">Parametric reforms covered by the plan included: i) Increasing the mandatory retirement age from 60 to 62; ii) early retirement would only be allowed if pensions are reduced according to an actuarially fair coefficient to be produced by the World Bank; iii) lump sums for those who contributed to Scheme I for more than 28 years would be calculated using the same average salary as the one used to calculate regular pensions; iv) buying additional years of contributions would only apply with a limit of up to 3 years at the time of retirement for Schemes I, III, IV; v) new entrants to Scheme II would be allowed to purchase voluntary contributions of up to 5 years in advance within the first year of joining the system; vi) pensions would be indexed to the CPI published by the Palestinian Central Bureau of Statistics; and vii) the DC component of Scheme II would be modified to introduce notional accounts instead of funded accounts as currently stipulated by the law. Please see Annex V for a detailed explanation of notional defined contribution (NDC) plans. </w:t>
                      </w:r>
                    </w:p>
                    <w:p w:rsidR="00DF20A2" w:rsidRPr="00CE6022" w:rsidRDefault="00DF20A2" w:rsidP="00426A6F">
                      <w:pPr>
                        <w:rPr>
                          <w:rFonts w:cs="Times New Roman"/>
                        </w:rPr>
                      </w:pPr>
                      <w:r w:rsidRPr="006D2633">
                        <w:rPr>
                          <w:rFonts w:cs="Times New Roman"/>
                          <w:sz w:val="20"/>
                          <w:szCs w:val="20"/>
                        </w:rPr>
                        <w:t xml:space="preserve">Progress made in the implementation of the reform action plan was uneven. Most of the administrative reforms were implemented, leading to an overall improvement in the organizational aspects of the PPA. However, none of the parametric reforms were carried out since those required commitment and actions from the PPA in addition to the Cabinet, the </w:t>
                      </w:r>
                      <w:proofErr w:type="spellStart"/>
                      <w:r w:rsidRPr="006D2633">
                        <w:rPr>
                          <w:rFonts w:cs="Times New Roman"/>
                          <w:sz w:val="20"/>
                          <w:szCs w:val="20"/>
                        </w:rPr>
                        <w:t>MoF</w:t>
                      </w:r>
                      <w:proofErr w:type="spellEnd"/>
                      <w:r w:rsidRPr="006D2633">
                        <w:rPr>
                          <w:rFonts w:cs="Times New Roman"/>
                          <w:sz w:val="20"/>
                          <w:szCs w:val="20"/>
                        </w:rPr>
                        <w:t xml:space="preserve">, and other actors. The </w:t>
                      </w:r>
                      <w:r w:rsidRPr="00DF20A2">
                        <w:rPr>
                          <w:rFonts w:cs="Times New Roman"/>
                          <w:sz w:val="20"/>
                          <w:szCs w:val="20"/>
                        </w:rPr>
                        <w:t>implementation of such reforms is still under discussion.</w:t>
                      </w:r>
                    </w:p>
                  </w:txbxContent>
                </v:textbox>
                <w10:anchorlock/>
              </v:shape>
            </w:pict>
          </mc:Fallback>
        </mc:AlternateContent>
      </w:r>
    </w:p>
    <w:p w14:paraId="3B81A4A2" w14:textId="77777777" w:rsidR="00426A6F" w:rsidRPr="00426A6F" w:rsidRDefault="00426A6F" w:rsidP="00426A6F">
      <w:pPr>
        <w:spacing w:after="0" w:line="240" w:lineRule="auto"/>
        <w:ind w:left="90"/>
        <w:jc w:val="both"/>
        <w:rPr>
          <w:rFonts w:ascii="Times New Roman" w:eastAsia="Times New Roman" w:hAnsi="Times New Roman" w:cs="Times New Roman"/>
        </w:rPr>
      </w:pPr>
    </w:p>
    <w:p w14:paraId="7795B48A" w14:textId="77777777" w:rsidR="00426A6F" w:rsidRPr="00426A6F" w:rsidRDefault="00426A6F" w:rsidP="00426A6F">
      <w:pPr>
        <w:keepNext/>
        <w:keepLines/>
        <w:spacing w:before="40" w:after="0"/>
        <w:jc w:val="both"/>
        <w:outlineLvl w:val="1"/>
        <w:rPr>
          <w:rFonts w:ascii="Cambria" w:eastAsia="Times New Roman" w:hAnsi="Cambria" w:cs="Times New Roman"/>
          <w:b/>
          <w:bCs/>
          <w:color w:val="4F81BD"/>
          <w:sz w:val="26"/>
          <w:szCs w:val="26"/>
        </w:rPr>
      </w:pPr>
      <w:bookmarkStart w:id="20" w:name="_Toc422744758"/>
      <w:bookmarkStart w:id="21" w:name="_Toc357149382"/>
      <w:bookmarkEnd w:id="2"/>
      <w:bookmarkEnd w:id="3"/>
      <w:r w:rsidRPr="00426A6F">
        <w:rPr>
          <w:rFonts w:ascii="Cambria" w:eastAsia="Times New Roman" w:hAnsi="Cambria" w:cs="Times New Roman"/>
          <w:b/>
          <w:bCs/>
          <w:color w:val="4F81BD"/>
          <w:sz w:val="26"/>
          <w:szCs w:val="26"/>
        </w:rPr>
        <w:lastRenderedPageBreak/>
        <w:t>4.2 Implications of maintaining the status quo</w:t>
      </w:r>
      <w:bookmarkEnd w:id="20"/>
    </w:p>
    <w:p w14:paraId="453BFC3B" w14:textId="77777777" w:rsidR="00426A6F" w:rsidRPr="00426A6F" w:rsidRDefault="00426A6F" w:rsidP="00426A6F">
      <w:pPr>
        <w:spacing w:before="240"/>
        <w:jc w:val="both"/>
        <w:rPr>
          <w:rFonts w:ascii="Times New Roman" w:eastAsia="Times New Roman" w:hAnsi="Times New Roman" w:cs="Times New Roman"/>
          <w:bCs/>
        </w:rPr>
      </w:pPr>
      <w:r w:rsidRPr="00426A6F">
        <w:rPr>
          <w:b/>
        </w:rPr>
        <w:t xml:space="preserve">The financial situation of the four pension schemes clearly shows that all register a monthly deficit except Scheme II. </w:t>
      </w:r>
      <w:r w:rsidRPr="00426A6F">
        <w:rPr>
          <w:b/>
        </w:rPr>
        <w:fldChar w:fldCharType="begin"/>
      </w:r>
      <w:r w:rsidRPr="00426A6F">
        <w:rPr>
          <w:b/>
        </w:rPr>
        <w:instrText xml:space="preserve"> REF _Ref422156868 \h </w:instrText>
      </w:r>
      <w:r w:rsidRPr="00426A6F">
        <w:rPr>
          <w:b/>
        </w:rPr>
      </w:r>
      <w:r w:rsidRPr="00426A6F">
        <w:rPr>
          <w:b/>
        </w:rPr>
        <w:fldChar w:fldCharType="separate"/>
      </w:r>
      <w:r w:rsidRPr="00426A6F">
        <w:t xml:space="preserve">Table </w:t>
      </w:r>
      <w:r w:rsidRPr="00426A6F">
        <w:rPr>
          <w:noProof/>
        </w:rPr>
        <w:t>24</w:t>
      </w:r>
      <w:r w:rsidRPr="00426A6F">
        <w:rPr>
          <w:b/>
        </w:rPr>
        <w:fldChar w:fldCharType="end"/>
      </w:r>
      <w:r w:rsidRPr="00426A6F">
        <w:rPr>
          <w:b/>
        </w:rPr>
        <w:t xml:space="preserve"> </w:t>
      </w:r>
      <w:r w:rsidRPr="00426A6F">
        <w:t xml:space="preserve">summarizes actual revenues received and expenditures paid out of each of the four schemes in December 2013. Pension payments for the security service personnel in Scheme II in addition to those in Scheme III have been transferred by the PA to the PPA. On the other hand, Scheme I and the civil servant and non-governmental component of Scheme II have not received any contributions from the PA, and therefore, monthly pension benefits are covered by the PPA from revenues generated by Scheme II and from reserves. Contributions and payments for Scheme IV are directly taken care of by the PA, even though by law this scheme, like others, should be centralized at the PPA. </w:t>
      </w:r>
      <w:r w:rsidRPr="00426A6F">
        <w:fldChar w:fldCharType="begin"/>
      </w:r>
      <w:r w:rsidRPr="00426A6F">
        <w:instrText xml:space="preserve"> REF _Ref422156944 \h </w:instrText>
      </w:r>
      <w:r w:rsidRPr="00426A6F">
        <w:fldChar w:fldCharType="separate"/>
      </w:r>
      <w:r w:rsidRPr="00426A6F">
        <w:t xml:space="preserve">Table </w:t>
      </w:r>
      <w:r w:rsidRPr="00426A6F">
        <w:rPr>
          <w:noProof/>
        </w:rPr>
        <w:t>25</w:t>
      </w:r>
      <w:r w:rsidRPr="00426A6F">
        <w:fldChar w:fldCharType="end"/>
      </w:r>
      <w:r w:rsidRPr="00426A6F">
        <w:t xml:space="preserve"> constructs a hypothetical financial situation for December 2013 assuming that all due contributions were transferred to the PPA as required by the UPL. Even under this assumption, all schemes except Scheme II register deficits. </w:t>
      </w:r>
    </w:p>
    <w:p w14:paraId="29484511" w14:textId="77777777" w:rsidR="00426A6F" w:rsidRPr="00426A6F" w:rsidRDefault="00426A6F" w:rsidP="00426A6F">
      <w:pPr>
        <w:keepNext/>
        <w:keepLines/>
        <w:spacing w:after="0" w:line="240" w:lineRule="auto"/>
        <w:jc w:val="center"/>
        <w:rPr>
          <w:b/>
          <w:iCs/>
        </w:rPr>
      </w:pPr>
      <w:bookmarkStart w:id="22" w:name="_Ref422156868"/>
      <w:bookmarkStart w:id="23" w:name="_Toc422385116"/>
      <w:r w:rsidRPr="00426A6F">
        <w:rPr>
          <w:b/>
          <w:iCs/>
        </w:rPr>
        <w:t xml:space="preserve">Table </w:t>
      </w:r>
      <w:r w:rsidRPr="00426A6F">
        <w:rPr>
          <w:b/>
          <w:iCs/>
        </w:rPr>
        <w:fldChar w:fldCharType="begin"/>
      </w:r>
      <w:r w:rsidRPr="00426A6F">
        <w:rPr>
          <w:b/>
          <w:iCs/>
        </w:rPr>
        <w:instrText xml:space="preserve"> SEQ Table \* ARABIC </w:instrText>
      </w:r>
      <w:r w:rsidRPr="00426A6F">
        <w:rPr>
          <w:b/>
          <w:iCs/>
        </w:rPr>
        <w:fldChar w:fldCharType="separate"/>
      </w:r>
      <w:r w:rsidRPr="00426A6F">
        <w:rPr>
          <w:b/>
          <w:iCs/>
          <w:noProof/>
        </w:rPr>
        <w:t>24</w:t>
      </w:r>
      <w:r w:rsidRPr="00426A6F">
        <w:rPr>
          <w:b/>
          <w:iCs/>
          <w:noProof/>
        </w:rPr>
        <w:fldChar w:fldCharType="end"/>
      </w:r>
      <w:bookmarkEnd w:id="22"/>
      <w:r w:rsidRPr="00426A6F">
        <w:rPr>
          <w:b/>
          <w:iCs/>
        </w:rPr>
        <w:t>: Actual revenues, expenditures, and balance of each pension scheme, December 2013</w:t>
      </w:r>
      <w:bookmarkEnd w:id="23"/>
    </w:p>
    <w:p w14:paraId="548E6AA7" w14:textId="77777777" w:rsidR="00426A6F" w:rsidRPr="00426A6F" w:rsidRDefault="00426A6F" w:rsidP="00426A6F">
      <w:pPr>
        <w:keepNext/>
        <w:keepLines/>
        <w:spacing w:after="0" w:line="240" w:lineRule="auto"/>
        <w:jc w:val="both"/>
        <w:rPr>
          <w:rFonts w:ascii="Times New Roman" w:eastAsia="Times New Roman" w:hAnsi="Times New Roman" w:cs="Times New Roman"/>
          <w:bCs/>
        </w:rPr>
      </w:pPr>
      <w:r w:rsidRPr="00426A6F">
        <w:rPr>
          <w:rFonts w:ascii="Times New Roman" w:eastAsia="Times New Roman" w:hAnsi="Times New Roman" w:cs="Times New Roman"/>
          <w:noProof/>
        </w:rPr>
        <w:drawing>
          <wp:inline distT="0" distB="0" distL="0" distR="0" wp14:anchorId="6272A9EC" wp14:editId="63EDBA18">
            <wp:extent cx="6188710" cy="578521"/>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88710" cy="578521"/>
                    </a:xfrm>
                    <a:prstGeom prst="rect">
                      <a:avLst/>
                    </a:prstGeom>
                    <a:noFill/>
                    <a:ln>
                      <a:noFill/>
                    </a:ln>
                  </pic:spPr>
                </pic:pic>
              </a:graphicData>
            </a:graphic>
          </wp:inline>
        </w:drawing>
      </w:r>
    </w:p>
    <w:p w14:paraId="769E5B76" w14:textId="77777777" w:rsidR="00426A6F" w:rsidRPr="00426A6F" w:rsidRDefault="00426A6F" w:rsidP="00426A6F">
      <w:pPr>
        <w:keepNext/>
        <w:keepLines/>
        <w:spacing w:after="0" w:line="240" w:lineRule="auto"/>
        <w:jc w:val="both"/>
        <w:rPr>
          <w:rFonts w:ascii="Times New Roman" w:eastAsia="Times New Roman" w:hAnsi="Times New Roman" w:cs="Times New Roman"/>
          <w:bCs/>
        </w:rPr>
      </w:pPr>
    </w:p>
    <w:p w14:paraId="3427B30E" w14:textId="77777777" w:rsidR="00426A6F" w:rsidRPr="00426A6F" w:rsidRDefault="00426A6F" w:rsidP="00426A6F">
      <w:pPr>
        <w:keepNext/>
        <w:keepLines/>
        <w:spacing w:after="0" w:line="240" w:lineRule="auto"/>
        <w:jc w:val="center"/>
        <w:rPr>
          <w:b/>
          <w:iCs/>
        </w:rPr>
      </w:pPr>
      <w:bookmarkStart w:id="24" w:name="_Ref422156944"/>
      <w:bookmarkStart w:id="25" w:name="_Toc422385117"/>
      <w:r w:rsidRPr="00426A6F">
        <w:rPr>
          <w:b/>
          <w:iCs/>
        </w:rPr>
        <w:t xml:space="preserve">Table </w:t>
      </w:r>
      <w:r w:rsidRPr="00426A6F">
        <w:rPr>
          <w:b/>
          <w:iCs/>
        </w:rPr>
        <w:fldChar w:fldCharType="begin"/>
      </w:r>
      <w:r w:rsidRPr="00426A6F">
        <w:rPr>
          <w:b/>
          <w:iCs/>
        </w:rPr>
        <w:instrText xml:space="preserve"> SEQ Table \* ARABIC </w:instrText>
      </w:r>
      <w:r w:rsidRPr="00426A6F">
        <w:rPr>
          <w:b/>
          <w:iCs/>
        </w:rPr>
        <w:fldChar w:fldCharType="separate"/>
      </w:r>
      <w:r w:rsidRPr="00426A6F">
        <w:rPr>
          <w:b/>
          <w:iCs/>
          <w:noProof/>
        </w:rPr>
        <w:t>25</w:t>
      </w:r>
      <w:r w:rsidRPr="00426A6F">
        <w:rPr>
          <w:b/>
          <w:iCs/>
          <w:noProof/>
        </w:rPr>
        <w:fldChar w:fldCharType="end"/>
      </w:r>
      <w:bookmarkEnd w:id="24"/>
      <w:r w:rsidRPr="00426A6F">
        <w:rPr>
          <w:b/>
          <w:iCs/>
        </w:rPr>
        <w:t>: Hypothetical revenues, expenditures, and balance of each scheme assuming consistent transfers by the PA as required by law, December 2013</w:t>
      </w:r>
      <w:bookmarkEnd w:id="25"/>
    </w:p>
    <w:p w14:paraId="720CFD38" w14:textId="77777777" w:rsidR="00426A6F" w:rsidRPr="00426A6F" w:rsidRDefault="00426A6F" w:rsidP="00426A6F">
      <w:pPr>
        <w:keepNext/>
        <w:keepLines/>
        <w:spacing w:after="0" w:line="240" w:lineRule="auto"/>
        <w:jc w:val="both"/>
        <w:rPr>
          <w:rFonts w:ascii="Times New Roman" w:eastAsia="Times New Roman" w:hAnsi="Times New Roman" w:cs="Times New Roman"/>
          <w:bCs/>
        </w:rPr>
      </w:pPr>
      <w:r w:rsidRPr="00426A6F">
        <w:rPr>
          <w:rFonts w:ascii="Times New Roman" w:eastAsia="Times New Roman" w:hAnsi="Times New Roman" w:cs="Times New Roman"/>
          <w:noProof/>
        </w:rPr>
        <w:drawing>
          <wp:inline distT="0" distB="0" distL="0" distR="0" wp14:anchorId="32092920" wp14:editId="247B7483">
            <wp:extent cx="6188710" cy="578521"/>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88710" cy="578521"/>
                    </a:xfrm>
                    <a:prstGeom prst="rect">
                      <a:avLst/>
                    </a:prstGeom>
                    <a:noFill/>
                    <a:ln>
                      <a:noFill/>
                    </a:ln>
                  </pic:spPr>
                </pic:pic>
              </a:graphicData>
            </a:graphic>
          </wp:inline>
        </w:drawing>
      </w:r>
    </w:p>
    <w:p w14:paraId="775B4513" w14:textId="77777777" w:rsidR="00426A6F" w:rsidRPr="00426A6F" w:rsidRDefault="00426A6F" w:rsidP="00426A6F">
      <w:pPr>
        <w:spacing w:after="0" w:line="240" w:lineRule="auto"/>
        <w:jc w:val="both"/>
        <w:rPr>
          <w:rFonts w:ascii="Times New Roman" w:eastAsia="Times New Roman" w:hAnsi="Times New Roman" w:cs="Times New Roman"/>
          <w:bCs/>
        </w:rPr>
      </w:pPr>
    </w:p>
    <w:p w14:paraId="0375F44D" w14:textId="77777777" w:rsidR="00426A6F" w:rsidRPr="00426A6F" w:rsidRDefault="00426A6F" w:rsidP="00426A6F">
      <w:pPr>
        <w:jc w:val="both"/>
      </w:pPr>
      <w:r w:rsidRPr="00426A6F">
        <w:rPr>
          <w:b/>
        </w:rPr>
        <w:t xml:space="preserve">The deficit generated by the old schemes is currently covered by revenues from Scheme II, but this situation is unsustainable. </w:t>
      </w:r>
      <w:r w:rsidRPr="00426A6F">
        <w:t>To understand how the pension system’s financial situation will evolve over the next 35 years (until 2050), simulations were conducted using the World Bank’s Pension Reform Options Simulations Toolkit (PROST). The simulations were made under the assumption that no reforms will be carried out over this period.</w:t>
      </w:r>
      <w:r w:rsidRPr="00426A6F">
        <w:rPr>
          <w:vertAlign w:val="superscript"/>
        </w:rPr>
        <w:footnoteReference w:id="14"/>
      </w:r>
      <w:r w:rsidRPr="00426A6F">
        <w:t xml:space="preserve"> The results of this exercise are presented in </w:t>
      </w:r>
      <w:r w:rsidRPr="00426A6F">
        <w:fldChar w:fldCharType="begin"/>
      </w:r>
      <w:r w:rsidRPr="00426A6F">
        <w:instrText xml:space="preserve"> REF _Ref422157071 \h </w:instrText>
      </w:r>
      <w:r w:rsidRPr="00426A6F">
        <w:fldChar w:fldCharType="separate"/>
      </w:r>
      <w:r w:rsidRPr="00426A6F">
        <w:t xml:space="preserve">Figure </w:t>
      </w:r>
      <w:r w:rsidRPr="00426A6F">
        <w:rPr>
          <w:noProof/>
        </w:rPr>
        <w:t>75</w:t>
      </w:r>
      <w:r w:rsidRPr="00426A6F">
        <w:fldChar w:fldCharType="end"/>
      </w:r>
      <w:r w:rsidRPr="00426A6F">
        <w:t>.</w:t>
      </w:r>
    </w:p>
    <w:p w14:paraId="5F29CDF7" w14:textId="77777777" w:rsidR="00426A6F" w:rsidRPr="00426A6F" w:rsidRDefault="00426A6F" w:rsidP="00426A6F">
      <w:pPr>
        <w:keepNext/>
        <w:keepLines/>
        <w:spacing w:after="0" w:line="240" w:lineRule="auto"/>
        <w:jc w:val="center"/>
        <w:rPr>
          <w:b/>
          <w:iCs/>
        </w:rPr>
      </w:pPr>
      <w:bookmarkStart w:id="26" w:name="_Ref422157071"/>
      <w:bookmarkStart w:id="27" w:name="_Toc422385728"/>
      <w:r w:rsidRPr="00426A6F">
        <w:rPr>
          <w:b/>
          <w:iCs/>
        </w:rPr>
        <w:lastRenderedPageBreak/>
        <w:t xml:space="preserve">Figure </w:t>
      </w:r>
      <w:r w:rsidRPr="00426A6F">
        <w:rPr>
          <w:b/>
          <w:iCs/>
        </w:rPr>
        <w:fldChar w:fldCharType="begin"/>
      </w:r>
      <w:r w:rsidRPr="00426A6F">
        <w:rPr>
          <w:b/>
          <w:iCs/>
        </w:rPr>
        <w:instrText xml:space="preserve"> SEQ Figure \* ARABIC </w:instrText>
      </w:r>
      <w:r w:rsidRPr="00426A6F">
        <w:rPr>
          <w:b/>
          <w:iCs/>
        </w:rPr>
        <w:fldChar w:fldCharType="separate"/>
      </w:r>
      <w:r w:rsidRPr="00426A6F">
        <w:rPr>
          <w:b/>
          <w:iCs/>
          <w:noProof/>
        </w:rPr>
        <w:t>75</w:t>
      </w:r>
      <w:r w:rsidRPr="00426A6F">
        <w:rPr>
          <w:b/>
          <w:iCs/>
          <w:noProof/>
        </w:rPr>
        <w:fldChar w:fldCharType="end"/>
      </w:r>
      <w:bookmarkEnd w:id="26"/>
      <w:r w:rsidRPr="00426A6F">
        <w:rPr>
          <w:b/>
          <w:iCs/>
        </w:rPr>
        <w:t>: Current balance of the four pension schemes in the Palestinian territories (% of GDP), 2013-2050</w:t>
      </w:r>
      <w:bookmarkEnd w:id="27"/>
    </w:p>
    <w:p w14:paraId="61CF6C12" w14:textId="77777777" w:rsidR="00426A6F" w:rsidRPr="00426A6F" w:rsidRDefault="00426A6F" w:rsidP="00426A6F">
      <w:pPr>
        <w:keepNext/>
        <w:keepLines/>
        <w:spacing w:after="0" w:line="240" w:lineRule="auto"/>
        <w:ind w:left="540"/>
        <w:jc w:val="center"/>
        <w:rPr>
          <w:rFonts w:ascii="Times New Roman" w:eastAsia="Times New Roman" w:hAnsi="Times New Roman" w:cs="Times New Roman"/>
          <w:bCs/>
        </w:rPr>
      </w:pPr>
      <w:r w:rsidRPr="00426A6F">
        <w:rPr>
          <w:rFonts w:ascii="Times New Roman" w:eastAsia="Times New Roman" w:hAnsi="Times New Roman" w:cs="Traditional Arabic"/>
          <w:noProof/>
        </w:rPr>
        <w:drawing>
          <wp:inline distT="0" distB="0" distL="0" distR="0" wp14:anchorId="2F318ECC" wp14:editId="1B3FED58">
            <wp:extent cx="3421421" cy="188118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21421" cy="1881187"/>
                    </a:xfrm>
                    <a:prstGeom prst="rect">
                      <a:avLst/>
                    </a:prstGeom>
                    <a:noFill/>
                    <a:ln>
                      <a:noFill/>
                    </a:ln>
                  </pic:spPr>
                </pic:pic>
              </a:graphicData>
            </a:graphic>
          </wp:inline>
        </w:drawing>
      </w:r>
    </w:p>
    <w:p w14:paraId="6D71EB98" w14:textId="77777777" w:rsidR="00426A6F" w:rsidRPr="00426A6F" w:rsidRDefault="00426A6F" w:rsidP="00426A6F">
      <w:pPr>
        <w:keepNext/>
        <w:keepLines/>
        <w:spacing w:after="0" w:line="240" w:lineRule="auto"/>
        <w:jc w:val="both"/>
        <w:rPr>
          <w:rFonts w:ascii="Calibri" w:eastAsia="Calibri" w:hAnsi="Calibri" w:cs="Times New Roman"/>
          <w:sz w:val="20"/>
          <w:szCs w:val="20"/>
        </w:rPr>
      </w:pPr>
      <w:r w:rsidRPr="00426A6F">
        <w:rPr>
          <w:rFonts w:ascii="Calibri" w:eastAsia="Calibri" w:hAnsi="Calibri" w:cs="Times New Roman"/>
          <w:i/>
          <w:sz w:val="20"/>
          <w:szCs w:val="20"/>
        </w:rPr>
        <w:t>Source</w:t>
      </w:r>
      <w:r w:rsidRPr="00426A6F">
        <w:rPr>
          <w:rFonts w:ascii="Calibri" w:eastAsia="Calibri" w:hAnsi="Calibri" w:cs="Times New Roman"/>
          <w:sz w:val="20"/>
          <w:szCs w:val="20"/>
        </w:rPr>
        <w:t>: Authors’ estimates using PROST.</w:t>
      </w:r>
    </w:p>
    <w:p w14:paraId="46680620" w14:textId="77777777" w:rsidR="00426A6F" w:rsidRPr="00426A6F" w:rsidRDefault="00426A6F" w:rsidP="00426A6F">
      <w:pPr>
        <w:spacing w:after="0" w:line="240" w:lineRule="auto"/>
        <w:ind w:left="900"/>
        <w:jc w:val="both"/>
        <w:rPr>
          <w:rFonts w:ascii="Times New Roman" w:eastAsia="Times New Roman" w:hAnsi="Times New Roman" w:cs="Times New Roman"/>
          <w:bCs/>
        </w:rPr>
      </w:pPr>
    </w:p>
    <w:p w14:paraId="1FBFE6A6" w14:textId="77777777" w:rsidR="00426A6F" w:rsidRPr="00426A6F" w:rsidRDefault="00426A6F" w:rsidP="00426A6F">
      <w:pPr>
        <w:jc w:val="both"/>
        <w:rPr>
          <w:rFonts w:ascii="Times New Roman" w:eastAsia="Times New Roman" w:hAnsi="Times New Roman" w:cs="Times New Roman"/>
          <w:bCs/>
        </w:rPr>
      </w:pPr>
      <w:r w:rsidRPr="00426A6F">
        <w:rPr>
          <w:b/>
        </w:rPr>
        <w:t xml:space="preserve">As shown in </w:t>
      </w:r>
      <w:r w:rsidRPr="00426A6F">
        <w:rPr>
          <w:b/>
        </w:rPr>
        <w:fldChar w:fldCharType="begin"/>
      </w:r>
      <w:r w:rsidRPr="00426A6F">
        <w:rPr>
          <w:b/>
        </w:rPr>
        <w:instrText xml:space="preserve"> REF _Ref422157071 \h  \* MERGEFORMAT </w:instrText>
      </w:r>
      <w:r w:rsidRPr="00426A6F">
        <w:rPr>
          <w:b/>
        </w:rPr>
      </w:r>
      <w:r w:rsidRPr="00426A6F">
        <w:rPr>
          <w:b/>
        </w:rPr>
        <w:fldChar w:fldCharType="separate"/>
      </w:r>
      <w:r w:rsidRPr="00426A6F">
        <w:rPr>
          <w:b/>
        </w:rPr>
        <w:t xml:space="preserve">Figure </w:t>
      </w:r>
      <w:r w:rsidRPr="00426A6F">
        <w:rPr>
          <w:b/>
          <w:noProof/>
        </w:rPr>
        <w:t>75</w:t>
      </w:r>
      <w:r w:rsidRPr="00426A6F">
        <w:rPr>
          <w:b/>
        </w:rPr>
        <w:fldChar w:fldCharType="end"/>
      </w:r>
      <w:r w:rsidRPr="00426A6F">
        <w:rPr>
          <w:b/>
        </w:rPr>
        <w:t>, Schemes I, III, and IV will continue to accumulate deficits until they are phased out</w:t>
      </w:r>
      <w:r w:rsidRPr="00426A6F">
        <w:t>. The deficit from these schemes will continue to grow in the short to medium term, but will start declining in the longer term as they are closed off to new entrants. Notably, the deficit accumulated by Scheme I in particular will further widen until 2020. These schemes will continue to pay pensions, including survivorship benefits, beyond 2050.</w:t>
      </w:r>
    </w:p>
    <w:p w14:paraId="20002CCC" w14:textId="77777777" w:rsidR="00426A6F" w:rsidRPr="00426A6F" w:rsidRDefault="00426A6F" w:rsidP="00426A6F">
      <w:pPr>
        <w:jc w:val="both"/>
        <w:rPr>
          <w:rFonts w:ascii="Times New Roman" w:eastAsia="Times New Roman" w:hAnsi="Times New Roman" w:cs="Times New Roman"/>
          <w:bCs/>
        </w:rPr>
      </w:pPr>
      <w:r w:rsidRPr="00426A6F">
        <w:rPr>
          <w:b/>
        </w:rPr>
        <w:t>If the PA starts making contributions to the PPA as required by the UPL, the pension system will fall into a deficit in 2031.</w:t>
      </w:r>
      <w:r w:rsidRPr="00426A6F">
        <w:t xml:space="preserve"> In the short term, Scheme II will continue to generate a surplus that can be used to pay pension liabilities for all schemes. In about 10 years, however, and as Scheme II starts maturing, this surplus will start declining and will not be sufficient to finance the high deficits generated by the older schemes. In the long term, specifically in 2031, the parameters of Scheme II will lead to structural deficits. The funded DC component of Scheme II will not be able to accumulate reserves either.</w:t>
      </w:r>
      <w:r w:rsidRPr="00426A6F">
        <w:rPr>
          <w:vertAlign w:val="superscript"/>
        </w:rPr>
        <w:footnoteReference w:id="15"/>
      </w:r>
      <w:r w:rsidRPr="00426A6F">
        <w:t xml:space="preserve"> </w:t>
      </w:r>
    </w:p>
    <w:p w14:paraId="41C35451" w14:textId="77777777" w:rsidR="00426A6F" w:rsidRPr="00426A6F" w:rsidRDefault="00426A6F" w:rsidP="00426A6F">
      <w:pPr>
        <w:jc w:val="both"/>
      </w:pPr>
      <w:r w:rsidRPr="00426A6F">
        <w:rPr>
          <w:b/>
        </w:rPr>
        <w:t>Notably, the pension system could run out of funding much earlier if the PA carries on with the practice of accumulating arrears</w:t>
      </w:r>
      <w:r w:rsidRPr="00426A6F">
        <w:t xml:space="preserve">. PROST simulations show that if the PA continues underpaying the PPA and only paying pension benefits to security personnel while not transferring the required contributions, the system will fall into a deficit and become unsustainable in 2021. </w:t>
      </w:r>
    </w:p>
    <w:p w14:paraId="7D8688D4" w14:textId="77777777" w:rsidR="00426A6F" w:rsidRPr="00426A6F" w:rsidRDefault="00426A6F" w:rsidP="00426A6F">
      <w:pPr>
        <w:jc w:val="both"/>
      </w:pPr>
      <w:r w:rsidRPr="00426A6F">
        <w:rPr>
          <w:b/>
        </w:rPr>
        <w:t>The Palestinian public pension system is not sustainable as currently designed and implemented; hence the urgent need for parametric reforms.</w:t>
      </w:r>
      <w:r w:rsidRPr="00426A6F">
        <w:rPr>
          <w:vertAlign w:val="superscript"/>
        </w:rPr>
        <w:footnoteReference w:id="16"/>
      </w:r>
      <w:r w:rsidRPr="00426A6F">
        <w:t xml:space="preserve"> Regarding Scheme II, the focus should be on converting its funded DC component to a PAYG-DB system. As for Schemes I, III, and IV, urgent measures should be adopted to reverse their current and projected deficits. Additionally, it is essential to undertake further reforms related to disability and survivorship pensions. These reforms are discussed in detail in the next section. </w:t>
      </w:r>
    </w:p>
    <w:p w14:paraId="2D3C3251" w14:textId="77777777" w:rsidR="00426A6F" w:rsidRPr="00426A6F" w:rsidRDefault="00426A6F" w:rsidP="00426A6F">
      <w:pPr>
        <w:keepNext/>
        <w:keepLines/>
        <w:spacing w:before="40" w:after="0"/>
        <w:jc w:val="both"/>
        <w:outlineLvl w:val="1"/>
        <w:rPr>
          <w:rFonts w:ascii="Cambria" w:eastAsia="Times New Roman" w:hAnsi="Cambria" w:cs="Times New Roman"/>
          <w:b/>
          <w:bCs/>
          <w:color w:val="4F81BD"/>
          <w:sz w:val="26"/>
          <w:szCs w:val="26"/>
        </w:rPr>
      </w:pPr>
      <w:bookmarkStart w:id="28" w:name="_Toc422744759"/>
      <w:r w:rsidRPr="00426A6F">
        <w:rPr>
          <w:rFonts w:ascii="Cambria" w:eastAsia="Times New Roman" w:hAnsi="Cambria" w:cs="Times New Roman"/>
          <w:b/>
          <w:bCs/>
          <w:color w:val="4F81BD"/>
          <w:sz w:val="26"/>
          <w:szCs w:val="26"/>
        </w:rPr>
        <w:t>4.3 Reform options and their expected impact</w:t>
      </w:r>
      <w:bookmarkEnd w:id="28"/>
    </w:p>
    <w:p w14:paraId="7963064B" w14:textId="77777777" w:rsidR="00426A6F" w:rsidRPr="00426A6F" w:rsidRDefault="00426A6F" w:rsidP="00426A6F">
      <w:pPr>
        <w:spacing w:after="0" w:line="240" w:lineRule="auto"/>
        <w:jc w:val="both"/>
        <w:rPr>
          <w:rFonts w:ascii="Times New Roman" w:eastAsia="Times New Roman" w:hAnsi="Times New Roman" w:cs="Times New Roman"/>
        </w:rPr>
      </w:pPr>
    </w:p>
    <w:p w14:paraId="66F56647" w14:textId="77777777" w:rsidR="00426A6F" w:rsidRPr="00426A6F" w:rsidRDefault="00426A6F" w:rsidP="00426A6F">
      <w:pPr>
        <w:jc w:val="both"/>
        <w:rPr>
          <w:rFonts w:ascii="Times New Roman" w:eastAsia="Times New Roman" w:hAnsi="Times New Roman" w:cs="Times New Roman"/>
          <w:b/>
        </w:rPr>
      </w:pPr>
      <w:r w:rsidRPr="00426A6F">
        <w:rPr>
          <w:b/>
        </w:rPr>
        <w:t>Restoring the long-term sustainability of any pension system requires a mix of reforms and adjustments that can lead to a socially optimal solution</w:t>
      </w:r>
      <w:r w:rsidRPr="00426A6F">
        <w:t xml:space="preserve">, since adjusting a single parameter would have limited </w:t>
      </w:r>
      <w:r w:rsidRPr="00426A6F">
        <w:lastRenderedPageBreak/>
        <w:t xml:space="preserve">effectiveness. Several reform options that can help place the Palestinian pension system on a more sustainable track are as follows: </w:t>
      </w:r>
    </w:p>
    <w:p w14:paraId="6F619585" w14:textId="77777777" w:rsidR="00426A6F" w:rsidRPr="00426A6F" w:rsidRDefault="00426A6F" w:rsidP="00426A6F">
      <w:pPr>
        <w:spacing w:after="0" w:line="240" w:lineRule="auto"/>
        <w:ind w:firstLine="720"/>
        <w:jc w:val="both"/>
        <w:rPr>
          <w:rFonts w:eastAsia="Times New Roman" w:cs="Times New Roman"/>
          <w:lang w:eastAsia="zh-CN"/>
        </w:rPr>
      </w:pPr>
      <w:r w:rsidRPr="00426A6F">
        <w:rPr>
          <w:rFonts w:eastAsia="Times New Roman" w:cs="Times New Roman"/>
          <w:b/>
          <w:lang w:eastAsia="zh-CN"/>
        </w:rPr>
        <w:t>Reform 1:</w:t>
      </w:r>
      <w:r w:rsidRPr="00426A6F">
        <w:rPr>
          <w:rFonts w:eastAsia="Times New Roman" w:cs="Times New Roman"/>
          <w:lang w:eastAsia="zh-CN"/>
        </w:rPr>
        <w:t xml:space="preserve"> A gradual increase in the retirement age to 65 (between 2015 and 2020); </w:t>
      </w:r>
    </w:p>
    <w:p w14:paraId="0DB20675" w14:textId="77777777" w:rsidR="00426A6F" w:rsidRPr="00426A6F" w:rsidRDefault="00426A6F" w:rsidP="00426A6F">
      <w:pPr>
        <w:spacing w:after="0" w:line="240" w:lineRule="auto"/>
        <w:ind w:left="720"/>
        <w:jc w:val="both"/>
        <w:rPr>
          <w:rFonts w:eastAsia="Times New Roman" w:cs="Times New Roman"/>
          <w:lang w:eastAsia="zh-CN"/>
        </w:rPr>
      </w:pPr>
      <w:r w:rsidRPr="00426A6F">
        <w:rPr>
          <w:rFonts w:eastAsia="Times New Roman" w:cs="Times New Roman"/>
          <w:b/>
          <w:lang w:eastAsia="zh-CN"/>
        </w:rPr>
        <w:t>Reform 2:</w:t>
      </w:r>
      <w:r w:rsidRPr="00426A6F">
        <w:rPr>
          <w:rFonts w:eastAsia="Times New Roman" w:cs="Times New Roman"/>
          <w:lang w:eastAsia="zh-CN"/>
        </w:rPr>
        <w:t xml:space="preserve"> In addition to increasing the retirement age, a gradual decrease in the accrual rate</w:t>
      </w:r>
      <w:r w:rsidRPr="00426A6F">
        <w:rPr>
          <w:rFonts w:eastAsia="Times New Roman" w:cs="Times New Roman"/>
          <w:vertAlign w:val="superscript"/>
          <w:lang w:eastAsia="zh-CN"/>
        </w:rPr>
        <w:footnoteReference w:id="17"/>
      </w:r>
      <w:r w:rsidRPr="00426A6F">
        <w:rPr>
          <w:rFonts w:eastAsia="Times New Roman" w:cs="Times New Roman"/>
          <w:lang w:eastAsia="zh-CN"/>
        </w:rPr>
        <w:t xml:space="preserve"> of pension benefits to 1.5 percent between 2015 and 2020;</w:t>
      </w:r>
    </w:p>
    <w:p w14:paraId="01AE62CA" w14:textId="77777777" w:rsidR="00426A6F" w:rsidRPr="00426A6F" w:rsidRDefault="00426A6F" w:rsidP="00426A6F">
      <w:pPr>
        <w:spacing w:after="0" w:line="240" w:lineRule="auto"/>
        <w:ind w:left="720"/>
        <w:jc w:val="both"/>
        <w:rPr>
          <w:rFonts w:eastAsia="Times New Roman" w:cs="Times New Roman"/>
          <w:lang w:eastAsia="zh-CN"/>
        </w:rPr>
      </w:pPr>
      <w:r w:rsidRPr="00426A6F">
        <w:rPr>
          <w:rFonts w:eastAsia="Times New Roman" w:cs="Times New Roman"/>
          <w:b/>
          <w:lang w:eastAsia="zh-CN"/>
        </w:rPr>
        <w:t>Reform 3:</w:t>
      </w:r>
      <w:r w:rsidRPr="00426A6F">
        <w:rPr>
          <w:rFonts w:eastAsia="Times New Roman" w:cs="Times New Roman"/>
          <w:lang w:eastAsia="zh-CN"/>
        </w:rPr>
        <w:t xml:space="preserve"> In addition to an increase the retirement age and a reduction in the accrual rate, indexing benefits to annual changes in the CPI; </w:t>
      </w:r>
    </w:p>
    <w:p w14:paraId="1A10A046" w14:textId="77777777" w:rsidR="00426A6F" w:rsidRPr="00426A6F" w:rsidRDefault="00426A6F" w:rsidP="00426A6F">
      <w:pPr>
        <w:spacing w:after="0" w:line="240" w:lineRule="auto"/>
        <w:ind w:left="720"/>
        <w:jc w:val="both"/>
        <w:rPr>
          <w:rFonts w:eastAsia="Times New Roman" w:cs="Times New Roman"/>
          <w:lang w:eastAsia="zh-CN"/>
        </w:rPr>
      </w:pPr>
      <w:r w:rsidRPr="00426A6F">
        <w:rPr>
          <w:rFonts w:eastAsia="Times New Roman" w:cs="Times New Roman"/>
          <w:b/>
          <w:lang w:eastAsia="zh-CN"/>
        </w:rPr>
        <w:t>Reform 4:</w:t>
      </w:r>
      <w:r w:rsidRPr="00426A6F">
        <w:rPr>
          <w:rFonts w:eastAsia="Times New Roman" w:cs="Times New Roman"/>
          <w:lang w:eastAsia="zh-CN"/>
        </w:rPr>
        <w:t xml:space="preserve"> In addition to retirement age increase and a reduction in the accrual rate, indexing 50 percent of benefits to annual changes in the CPI, and 50 percent to nominal wage growth;</w:t>
      </w:r>
    </w:p>
    <w:p w14:paraId="0AE15C73" w14:textId="77777777" w:rsidR="00426A6F" w:rsidRPr="00426A6F" w:rsidRDefault="00426A6F" w:rsidP="00426A6F">
      <w:pPr>
        <w:spacing w:after="0" w:line="240" w:lineRule="auto"/>
        <w:ind w:left="720"/>
        <w:jc w:val="both"/>
        <w:rPr>
          <w:rFonts w:eastAsia="Times New Roman" w:cs="Times New Roman"/>
          <w:lang w:eastAsia="zh-CN"/>
        </w:rPr>
      </w:pPr>
      <w:r w:rsidRPr="00426A6F">
        <w:rPr>
          <w:rFonts w:eastAsia="Times New Roman" w:cs="Times New Roman"/>
          <w:b/>
          <w:lang w:eastAsia="zh-CN"/>
        </w:rPr>
        <w:t>Reform 5:</w:t>
      </w:r>
      <w:r w:rsidRPr="00426A6F">
        <w:rPr>
          <w:rFonts w:eastAsia="Times New Roman" w:cs="Times New Roman"/>
          <w:lang w:eastAsia="zh-CN"/>
        </w:rPr>
        <w:t xml:space="preserve"> Eliminating early retirement (participants are not allowed to retire before the legal retirement age of 60) </w:t>
      </w:r>
      <w:r w:rsidRPr="00426A6F">
        <w:rPr>
          <w:rFonts w:eastAsia="Times New Roman" w:cs="Times New Roman"/>
        </w:rPr>
        <w:t>or introducing actuarially fair reduction factors</w:t>
      </w:r>
      <w:r w:rsidRPr="00426A6F">
        <w:rPr>
          <w:rFonts w:eastAsia="Times New Roman" w:cs="Times New Roman"/>
          <w:lang w:eastAsia="zh-CN"/>
        </w:rPr>
        <w:t>;</w:t>
      </w:r>
    </w:p>
    <w:p w14:paraId="02A4690B" w14:textId="77777777" w:rsidR="00426A6F" w:rsidRPr="00426A6F" w:rsidRDefault="00426A6F" w:rsidP="00426A6F">
      <w:pPr>
        <w:spacing w:after="0" w:line="240" w:lineRule="auto"/>
        <w:ind w:left="720"/>
        <w:jc w:val="both"/>
        <w:rPr>
          <w:rFonts w:eastAsia="Times New Roman" w:cs="Times New Roman"/>
          <w:lang w:eastAsia="zh-CN"/>
        </w:rPr>
      </w:pPr>
      <w:r w:rsidRPr="00426A6F">
        <w:rPr>
          <w:rFonts w:eastAsia="Times New Roman" w:cs="Times New Roman"/>
          <w:b/>
          <w:lang w:eastAsia="zh-CN"/>
        </w:rPr>
        <w:t>Reform 6:</w:t>
      </w:r>
      <w:r w:rsidRPr="00426A6F">
        <w:rPr>
          <w:rFonts w:eastAsia="Times New Roman" w:cs="Times New Roman"/>
          <w:lang w:eastAsia="zh-CN"/>
        </w:rPr>
        <w:t xml:space="preserve"> No cashing in of benefits prior to retirement age. Unlike what is proposed under Reform 5, in this case, participants would be eligible to retire early, but they would not have the right to receive pension benefits until they reach retirement age; </w:t>
      </w:r>
    </w:p>
    <w:p w14:paraId="785E867C" w14:textId="77777777" w:rsidR="00426A6F" w:rsidRPr="00426A6F" w:rsidRDefault="00426A6F" w:rsidP="00426A6F">
      <w:pPr>
        <w:spacing w:after="0" w:line="240" w:lineRule="auto"/>
        <w:ind w:left="720"/>
        <w:jc w:val="both"/>
        <w:rPr>
          <w:rFonts w:eastAsia="Times New Roman" w:cs="Times New Roman"/>
          <w:lang w:eastAsia="zh-CN"/>
        </w:rPr>
      </w:pPr>
      <w:r w:rsidRPr="00426A6F">
        <w:rPr>
          <w:rFonts w:eastAsia="Times New Roman" w:cs="Times New Roman"/>
          <w:b/>
          <w:lang w:eastAsia="zh-CN"/>
        </w:rPr>
        <w:t>Reform 7:</w:t>
      </w:r>
      <w:r w:rsidRPr="00426A6F">
        <w:rPr>
          <w:rFonts w:eastAsia="Times New Roman" w:cs="Times New Roman"/>
          <w:lang w:eastAsia="zh-CN"/>
        </w:rPr>
        <w:t xml:space="preserve"> Elimination of lump-sum benefits for all pensioners – </w:t>
      </w:r>
      <w:r w:rsidRPr="00426A6F">
        <w:rPr>
          <w:rFonts w:eastAsia="Times New Roman" w:cs="Times New Roman"/>
          <w:i/>
          <w:lang w:eastAsia="zh-CN"/>
        </w:rPr>
        <w:t>this could have particular financial implications for Schemes I, III, and IV</w:t>
      </w:r>
      <w:r w:rsidRPr="00426A6F">
        <w:rPr>
          <w:rFonts w:eastAsia="Times New Roman" w:cs="Times New Roman"/>
          <w:lang w:eastAsia="zh-CN"/>
        </w:rPr>
        <w:t>.</w:t>
      </w:r>
    </w:p>
    <w:p w14:paraId="5D5A4BCB" w14:textId="77777777" w:rsidR="00426A6F" w:rsidRPr="00426A6F" w:rsidRDefault="00426A6F" w:rsidP="00426A6F">
      <w:pPr>
        <w:spacing w:after="0" w:line="240" w:lineRule="auto"/>
        <w:jc w:val="both"/>
        <w:rPr>
          <w:rFonts w:ascii="Times New Roman" w:eastAsia="Times New Roman" w:hAnsi="Times New Roman" w:cs="Times New Roman"/>
          <w:lang w:eastAsia="zh-CN"/>
        </w:rPr>
      </w:pPr>
    </w:p>
    <w:p w14:paraId="6C1A882E" w14:textId="77777777" w:rsidR="00426A6F" w:rsidRPr="00426A6F" w:rsidRDefault="00426A6F" w:rsidP="00426A6F">
      <w:pPr>
        <w:jc w:val="both"/>
        <w:rPr>
          <w:lang w:eastAsia="zh-CN"/>
        </w:rPr>
      </w:pPr>
      <w:r w:rsidRPr="00426A6F">
        <w:rPr>
          <w:b/>
          <w:lang w:eastAsia="zh-CN"/>
        </w:rPr>
        <w:t xml:space="preserve">For the sake of this PER, simulations were carried out to assess the financial implications of the first three abovementioned reform options on Scheme II. </w:t>
      </w:r>
      <w:r w:rsidRPr="00426A6F">
        <w:rPr>
          <w:lang w:eastAsia="zh-CN"/>
        </w:rPr>
        <w:t xml:space="preserve">The results show that the </w:t>
      </w:r>
      <w:r w:rsidRPr="00426A6F">
        <w:t xml:space="preserve">combined adjustments produce more positive outcomes. Simulation results are presented in </w:t>
      </w:r>
      <w:r w:rsidRPr="00426A6F">
        <w:fldChar w:fldCharType="begin"/>
      </w:r>
      <w:r w:rsidRPr="00426A6F">
        <w:instrText xml:space="preserve"> REF _Ref422157451 \h  \* MERGEFORMAT </w:instrText>
      </w:r>
      <w:r w:rsidRPr="00426A6F">
        <w:fldChar w:fldCharType="separate"/>
      </w:r>
      <w:r w:rsidRPr="00426A6F">
        <w:t>Figure</w:t>
      </w:r>
      <w:r w:rsidRPr="00426A6F">
        <w:rPr>
          <w:iCs/>
        </w:rPr>
        <w:t xml:space="preserve"> </w:t>
      </w:r>
      <w:r w:rsidRPr="00426A6F">
        <w:rPr>
          <w:noProof/>
        </w:rPr>
        <w:t>76</w:t>
      </w:r>
      <w:r w:rsidRPr="00426A6F">
        <w:fldChar w:fldCharType="end"/>
      </w:r>
      <w:r w:rsidRPr="00426A6F">
        <w:t xml:space="preserve"> and </w:t>
      </w:r>
      <w:r w:rsidRPr="00426A6F">
        <w:fldChar w:fldCharType="begin"/>
      </w:r>
      <w:r w:rsidRPr="00426A6F">
        <w:instrText xml:space="preserve"> REF _Ref422157453 \h  \* MERGEFORMAT </w:instrText>
      </w:r>
      <w:r w:rsidRPr="00426A6F">
        <w:fldChar w:fldCharType="separate"/>
      </w:r>
      <w:r w:rsidRPr="00426A6F">
        <w:t xml:space="preserve">Figure </w:t>
      </w:r>
      <w:r w:rsidRPr="00426A6F">
        <w:rPr>
          <w:noProof/>
        </w:rPr>
        <w:t>77</w:t>
      </w:r>
      <w:r w:rsidRPr="00426A6F">
        <w:fldChar w:fldCharType="end"/>
      </w:r>
      <w:r w:rsidRPr="00426A6F">
        <w:t xml:space="preserve">, which project the system’s annual expenditures and current balance under the three reform options and under a baseline scenario where no reforms are implemented and Scheme II falls into deficit in 2031, as discussed in the previous section. Results show that if the PA opted for Reform 1, which only requires increasing the retirement age to 65, </w:t>
      </w:r>
      <w:r w:rsidRPr="00426A6F">
        <w:rPr>
          <w:lang w:eastAsia="zh-CN"/>
        </w:rPr>
        <w:t>the time Scheme II goes into deficit is initially delayed by a few years. In the long run, however, the deficit becomes even deeper than in the baseline scenario. This paradoxical conclusion is explained by the fact that raising the retirement age increases years of service, and ultimately, pension benefits.</w:t>
      </w:r>
      <w:r w:rsidRPr="00426A6F">
        <w:rPr>
          <w:vertAlign w:val="superscript"/>
          <w:lang w:eastAsia="zh-CN"/>
        </w:rPr>
        <w:footnoteReference w:id="18"/>
      </w:r>
      <w:r w:rsidRPr="00426A6F">
        <w:rPr>
          <w:lang w:eastAsia="zh-CN"/>
        </w:rPr>
        <w:t xml:space="preserve"> In Reform 2, where in addition to increasing the retirement age the accrual rate is reduced, falling into deficit is delayed by approximately eight years. Simulations show that if Reform 3 was implemented, whereby in addition to the increase in retirement age and the reduction of the accrual rate, pensions are indexed to inflation, the entry into deficit is delayed by approximately 10 years compared to the baseline scenario, specifically in 2041.</w:t>
      </w:r>
      <w:r w:rsidRPr="00426A6F">
        <w:rPr>
          <w:vertAlign w:val="superscript"/>
          <w:lang w:eastAsia="zh-CN"/>
        </w:rPr>
        <w:footnoteReference w:id="19"/>
      </w:r>
    </w:p>
    <w:tbl>
      <w:tblPr>
        <w:tblStyle w:val="TableGrid"/>
        <w:tblW w:w="0" w:type="auto"/>
        <w:tblLook w:val="04A0" w:firstRow="1" w:lastRow="0" w:firstColumn="1" w:lastColumn="0" w:noHBand="0" w:noVBand="1"/>
      </w:tblPr>
      <w:tblGrid>
        <w:gridCol w:w="4679"/>
        <w:gridCol w:w="4671"/>
      </w:tblGrid>
      <w:tr w:rsidR="00426A6F" w:rsidRPr="00426A6F" w14:paraId="5137910C" w14:textId="77777777" w:rsidTr="00DF20A2">
        <w:tc>
          <w:tcPr>
            <w:tcW w:w="4788" w:type="dxa"/>
          </w:tcPr>
          <w:p w14:paraId="50E739F5" w14:textId="77777777" w:rsidR="00426A6F" w:rsidRPr="00426A6F" w:rsidRDefault="00426A6F" w:rsidP="00426A6F">
            <w:pPr>
              <w:keepNext/>
              <w:jc w:val="center"/>
              <w:rPr>
                <w:b/>
                <w:iCs/>
              </w:rPr>
            </w:pPr>
            <w:bookmarkStart w:id="29" w:name="_Ref422157451"/>
            <w:bookmarkStart w:id="30" w:name="_Toc422385729"/>
            <w:r w:rsidRPr="00426A6F">
              <w:rPr>
                <w:b/>
                <w:iCs/>
              </w:rPr>
              <w:lastRenderedPageBreak/>
              <w:t xml:space="preserve">Figure </w:t>
            </w:r>
            <w:r w:rsidRPr="00426A6F">
              <w:rPr>
                <w:b/>
                <w:iCs/>
              </w:rPr>
              <w:fldChar w:fldCharType="begin"/>
            </w:r>
            <w:r w:rsidRPr="00426A6F">
              <w:rPr>
                <w:b/>
                <w:iCs/>
              </w:rPr>
              <w:instrText xml:space="preserve"> SEQ Figure \* ARABIC </w:instrText>
            </w:r>
            <w:r w:rsidRPr="00426A6F">
              <w:rPr>
                <w:b/>
                <w:iCs/>
              </w:rPr>
              <w:fldChar w:fldCharType="separate"/>
            </w:r>
            <w:r w:rsidRPr="00426A6F">
              <w:rPr>
                <w:b/>
                <w:iCs/>
                <w:noProof/>
              </w:rPr>
              <w:t>76</w:t>
            </w:r>
            <w:r w:rsidRPr="00426A6F">
              <w:rPr>
                <w:b/>
                <w:iCs/>
              </w:rPr>
              <w:fldChar w:fldCharType="end"/>
            </w:r>
            <w:bookmarkEnd w:id="29"/>
            <w:r w:rsidRPr="00426A6F">
              <w:rPr>
                <w:b/>
                <w:iCs/>
              </w:rPr>
              <w:t>: Projected gross expenditures for Scheme II under several reform options</w:t>
            </w:r>
            <w:bookmarkEnd w:id="30"/>
            <w:r w:rsidRPr="00426A6F">
              <w:rPr>
                <w:b/>
                <w:iCs/>
              </w:rPr>
              <w:t xml:space="preserve"> </w:t>
            </w:r>
          </w:p>
          <w:p w14:paraId="51A73F8C" w14:textId="77777777" w:rsidR="00426A6F" w:rsidRPr="00426A6F" w:rsidRDefault="00426A6F" w:rsidP="00426A6F">
            <w:pPr>
              <w:jc w:val="both"/>
            </w:pPr>
            <w:r w:rsidRPr="00426A6F">
              <w:rPr>
                <w:b/>
                <w:iCs/>
                <w:noProof/>
              </w:rPr>
              <w:drawing>
                <wp:anchor distT="0" distB="0" distL="114300" distR="114300" simplePos="0" relativeHeight="251659264" behindDoc="0" locked="0" layoutInCell="1" allowOverlap="1" wp14:anchorId="7E811C83" wp14:editId="3A2FBBBC">
                  <wp:simplePos x="0" y="0"/>
                  <wp:positionH relativeFrom="column">
                    <wp:posOffset>-12700</wp:posOffset>
                  </wp:positionH>
                  <wp:positionV relativeFrom="paragraph">
                    <wp:posOffset>56515</wp:posOffset>
                  </wp:positionV>
                  <wp:extent cx="2872105" cy="2157095"/>
                  <wp:effectExtent l="0" t="0" r="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72105" cy="215709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788" w:type="dxa"/>
          </w:tcPr>
          <w:p w14:paraId="183DCC02" w14:textId="77777777" w:rsidR="00426A6F" w:rsidRPr="00426A6F" w:rsidRDefault="00426A6F" w:rsidP="00426A6F">
            <w:pPr>
              <w:keepNext/>
              <w:jc w:val="center"/>
              <w:rPr>
                <w:b/>
                <w:iCs/>
              </w:rPr>
            </w:pPr>
            <w:bookmarkStart w:id="31" w:name="_Ref422157453"/>
            <w:bookmarkStart w:id="32" w:name="_Toc422385730"/>
            <w:r w:rsidRPr="00426A6F">
              <w:rPr>
                <w:b/>
                <w:iCs/>
              </w:rPr>
              <w:t xml:space="preserve">Figure </w:t>
            </w:r>
            <w:r w:rsidRPr="00426A6F">
              <w:rPr>
                <w:b/>
                <w:iCs/>
              </w:rPr>
              <w:fldChar w:fldCharType="begin"/>
            </w:r>
            <w:r w:rsidRPr="00426A6F">
              <w:rPr>
                <w:b/>
                <w:iCs/>
              </w:rPr>
              <w:instrText xml:space="preserve"> SEQ Figure \* ARABIC </w:instrText>
            </w:r>
            <w:r w:rsidRPr="00426A6F">
              <w:rPr>
                <w:b/>
                <w:iCs/>
              </w:rPr>
              <w:fldChar w:fldCharType="separate"/>
            </w:r>
            <w:r w:rsidRPr="00426A6F">
              <w:rPr>
                <w:b/>
                <w:iCs/>
                <w:noProof/>
              </w:rPr>
              <w:t>77</w:t>
            </w:r>
            <w:r w:rsidRPr="00426A6F">
              <w:rPr>
                <w:b/>
                <w:iCs/>
                <w:noProof/>
              </w:rPr>
              <w:fldChar w:fldCharType="end"/>
            </w:r>
            <w:bookmarkEnd w:id="31"/>
            <w:r w:rsidRPr="00426A6F">
              <w:rPr>
                <w:b/>
                <w:iCs/>
              </w:rPr>
              <w:t>: Current balance of Scheme II under several reform options</w:t>
            </w:r>
            <w:bookmarkEnd w:id="32"/>
          </w:p>
          <w:p w14:paraId="15C81CA8" w14:textId="77777777" w:rsidR="00426A6F" w:rsidRPr="00426A6F" w:rsidRDefault="00426A6F" w:rsidP="00426A6F">
            <w:pPr>
              <w:jc w:val="both"/>
              <w:rPr>
                <w:rFonts w:ascii="Times New Roman" w:eastAsia="Times New Roman" w:hAnsi="Times New Roman" w:cs="Times New Roman"/>
                <w:noProof/>
                <w:sz w:val="24"/>
                <w:szCs w:val="24"/>
              </w:rPr>
            </w:pPr>
            <w:r w:rsidRPr="00426A6F">
              <w:rPr>
                <w:rFonts w:ascii="Times New Roman" w:eastAsia="Times New Roman" w:hAnsi="Times New Roman" w:cs="Times New Roman"/>
                <w:noProof/>
                <w:sz w:val="24"/>
                <w:szCs w:val="24"/>
              </w:rPr>
              <w:drawing>
                <wp:anchor distT="0" distB="0" distL="114300" distR="114300" simplePos="0" relativeHeight="251660288" behindDoc="0" locked="0" layoutInCell="1" allowOverlap="1" wp14:anchorId="5441F5BC" wp14:editId="017D105B">
                  <wp:simplePos x="0" y="0"/>
                  <wp:positionH relativeFrom="column">
                    <wp:posOffset>102235</wp:posOffset>
                  </wp:positionH>
                  <wp:positionV relativeFrom="paragraph">
                    <wp:posOffset>55245</wp:posOffset>
                  </wp:positionV>
                  <wp:extent cx="2866390" cy="2404745"/>
                  <wp:effectExtent l="0" t="0" r="0"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66390" cy="24047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90007CA" w14:textId="77777777" w:rsidR="00426A6F" w:rsidRPr="00426A6F" w:rsidRDefault="00426A6F" w:rsidP="00426A6F">
            <w:pPr>
              <w:keepNext/>
              <w:keepLines/>
              <w:jc w:val="both"/>
              <w:rPr>
                <w:rFonts w:ascii="Calibri" w:eastAsia="Calibri" w:hAnsi="Calibri" w:cs="Times New Roman"/>
                <w:sz w:val="20"/>
                <w:szCs w:val="20"/>
              </w:rPr>
            </w:pPr>
          </w:p>
        </w:tc>
      </w:tr>
      <w:tr w:rsidR="00426A6F" w:rsidRPr="00426A6F" w14:paraId="14514D5E" w14:textId="77777777" w:rsidTr="00DF20A2">
        <w:tc>
          <w:tcPr>
            <w:tcW w:w="9576" w:type="dxa"/>
            <w:gridSpan w:val="2"/>
          </w:tcPr>
          <w:p w14:paraId="5BC449D5" w14:textId="77777777" w:rsidR="00426A6F" w:rsidRPr="00426A6F" w:rsidRDefault="00426A6F" w:rsidP="00426A6F">
            <w:pPr>
              <w:keepNext/>
              <w:keepLines/>
              <w:jc w:val="both"/>
              <w:rPr>
                <w:rFonts w:ascii="Calibri" w:eastAsia="Calibri" w:hAnsi="Calibri" w:cs="Times New Roman"/>
                <w:sz w:val="20"/>
                <w:szCs w:val="20"/>
              </w:rPr>
            </w:pPr>
            <w:r w:rsidRPr="00426A6F">
              <w:rPr>
                <w:rFonts w:ascii="Calibri" w:eastAsia="Calibri" w:hAnsi="Calibri" w:cs="Times New Roman"/>
                <w:i/>
                <w:sz w:val="20"/>
                <w:szCs w:val="20"/>
                <w:lang w:eastAsia="zh-CN"/>
              </w:rPr>
              <w:t>Source</w:t>
            </w:r>
            <w:r w:rsidRPr="00426A6F">
              <w:rPr>
                <w:rFonts w:ascii="Calibri" w:eastAsia="Calibri" w:hAnsi="Calibri" w:cs="Times New Roman"/>
                <w:sz w:val="20"/>
                <w:szCs w:val="20"/>
                <w:lang w:eastAsia="zh-CN"/>
              </w:rPr>
              <w:t>: Authors’ estimates using PROST.</w:t>
            </w:r>
          </w:p>
        </w:tc>
      </w:tr>
    </w:tbl>
    <w:p w14:paraId="0E11D296" w14:textId="77777777" w:rsidR="00426A6F" w:rsidRPr="00426A6F" w:rsidRDefault="00426A6F" w:rsidP="00426A6F">
      <w:pPr>
        <w:spacing w:after="0" w:line="240" w:lineRule="auto"/>
        <w:ind w:left="540"/>
        <w:jc w:val="both"/>
        <w:rPr>
          <w:rFonts w:ascii="Garamond" w:eastAsia="Times New Roman" w:hAnsi="Garamond" w:cs="Times New Roman"/>
          <w:sz w:val="24"/>
          <w:szCs w:val="24"/>
          <w:lang w:eastAsia="zh-CN"/>
        </w:rPr>
      </w:pPr>
    </w:p>
    <w:p w14:paraId="5CC88A40" w14:textId="77777777" w:rsidR="00426A6F" w:rsidRPr="00426A6F" w:rsidRDefault="00426A6F" w:rsidP="00426A6F">
      <w:pPr>
        <w:jc w:val="both"/>
        <w:rPr>
          <w:rFonts w:ascii="Times New Roman" w:eastAsia="Times New Roman" w:hAnsi="Times New Roman" w:cs="Times New Roman"/>
        </w:rPr>
      </w:pPr>
      <w:r w:rsidRPr="00426A6F">
        <w:rPr>
          <w:b/>
        </w:rPr>
        <w:t>Increasing the retirement age, reducing</w:t>
      </w:r>
      <w:r w:rsidRPr="00426A6F">
        <w:rPr>
          <w:b/>
          <w:lang w:eastAsia="zh-CN"/>
        </w:rPr>
        <w:t xml:space="preserve"> the accrual rate, and indexing pensions to inflation </w:t>
      </w:r>
      <w:r w:rsidRPr="00426A6F">
        <w:rPr>
          <w:b/>
        </w:rPr>
        <w:t>can delay the onset of the deficit, but more needs to be done to ensure long-term sustainability.</w:t>
      </w:r>
      <w:r w:rsidRPr="00426A6F">
        <w:t xml:space="preserve"> PROST simulations show that a combination of parametric reforms can improve the pension system’s financial outcome through delaying the onset of the deficit by 10 years. Despite this good result, a one-time change of parameters will not suffice to guarantee a long-term and/or permanent equilibrium in the system, particularly since demographic trends are expected to continuously change. Therefore, additional reform measures are needed to ensure long-term sustainability. </w:t>
      </w:r>
    </w:p>
    <w:p w14:paraId="146C9737" w14:textId="77777777" w:rsidR="00426A6F" w:rsidRPr="00426A6F" w:rsidRDefault="00426A6F" w:rsidP="00426A6F">
      <w:pPr>
        <w:jc w:val="both"/>
        <w:rPr>
          <w:rFonts w:ascii="Times New Roman" w:eastAsia="Times New Roman" w:hAnsi="Times New Roman" w:cs="Times New Roman"/>
        </w:rPr>
      </w:pPr>
      <w:r w:rsidRPr="00426A6F">
        <w:rPr>
          <w:b/>
        </w:rPr>
        <w:t>The use of actuarially fair reduction coefficients for early retirement is a recommended option to improve the long-term financial sustainability of Scheme II.</w:t>
      </w:r>
      <w:r w:rsidRPr="00426A6F">
        <w:t xml:space="preserve"> As mentioned earlier, the Palestinian public pension system offers generous early retirement options. The elimination of early retirement, however, does not seem politically feasible at this stage. Thus one possible option is to introduce actuarially fair reduction coefficients that depend on an individual’s age and gender and are calculated based on projected mortality rates, pension indexation rules, and a specific discount rate. Such coefficients equalize the net present value of the reduced benefit stream given at an earlier age and a regular benefit stream awarded at the statutory retirement age. The coefficients have been calculated for Scheme II; the results are presented in </w:t>
      </w:r>
      <w:r w:rsidRPr="00426A6F">
        <w:fldChar w:fldCharType="begin"/>
      </w:r>
      <w:r w:rsidRPr="00426A6F">
        <w:instrText xml:space="preserve"> REF _Ref422157868 \h </w:instrText>
      </w:r>
      <w:r w:rsidRPr="00426A6F">
        <w:fldChar w:fldCharType="separate"/>
      </w:r>
      <w:r w:rsidRPr="00426A6F">
        <w:t xml:space="preserve">Table </w:t>
      </w:r>
      <w:r w:rsidRPr="00426A6F">
        <w:rPr>
          <w:noProof/>
        </w:rPr>
        <w:t>26</w:t>
      </w:r>
      <w:r w:rsidRPr="00426A6F">
        <w:fldChar w:fldCharType="end"/>
      </w:r>
      <w:r w:rsidRPr="00426A6F">
        <w:t xml:space="preserve"> and </w:t>
      </w:r>
      <w:r w:rsidRPr="00426A6F">
        <w:fldChar w:fldCharType="begin"/>
      </w:r>
      <w:r w:rsidRPr="00426A6F">
        <w:instrText xml:space="preserve"> REF _Ref422157870 \h </w:instrText>
      </w:r>
      <w:r w:rsidRPr="00426A6F">
        <w:fldChar w:fldCharType="separate"/>
      </w:r>
      <w:r w:rsidRPr="00426A6F">
        <w:t xml:space="preserve">Table </w:t>
      </w:r>
      <w:r w:rsidRPr="00426A6F">
        <w:rPr>
          <w:noProof/>
        </w:rPr>
        <w:t>27</w:t>
      </w:r>
      <w:r w:rsidRPr="00426A6F">
        <w:fldChar w:fldCharType="end"/>
      </w:r>
      <w:r w:rsidRPr="00426A6F">
        <w:t>. The results show that to preserve fairness, pensions should have significantly higher reductions than the current practice when workers retire before the statutory retirement age. For instance, retirement at age 55 would require an “actuarially fair” reduction of pensions by 23 percent for men and 21 percent for women. The reduction of pensions would be more significant for those workers who decide to retire even earlier.</w:t>
      </w:r>
    </w:p>
    <w:p w14:paraId="24F1C3EB" w14:textId="77777777" w:rsidR="00426A6F" w:rsidRPr="00426A6F" w:rsidRDefault="00426A6F" w:rsidP="00426A6F">
      <w:pPr>
        <w:keepNext/>
        <w:keepLines/>
        <w:spacing w:after="0" w:line="240" w:lineRule="auto"/>
        <w:jc w:val="center"/>
        <w:rPr>
          <w:b/>
          <w:bCs/>
          <w:iCs/>
        </w:rPr>
      </w:pPr>
      <w:bookmarkStart w:id="33" w:name="_Ref422157868"/>
      <w:bookmarkStart w:id="34" w:name="_Toc422385118"/>
      <w:r w:rsidRPr="00426A6F">
        <w:rPr>
          <w:b/>
          <w:iCs/>
        </w:rPr>
        <w:lastRenderedPageBreak/>
        <w:t xml:space="preserve">Table </w:t>
      </w:r>
      <w:r w:rsidRPr="00426A6F">
        <w:rPr>
          <w:b/>
          <w:iCs/>
        </w:rPr>
        <w:fldChar w:fldCharType="begin"/>
      </w:r>
      <w:r w:rsidRPr="00426A6F">
        <w:rPr>
          <w:b/>
          <w:iCs/>
        </w:rPr>
        <w:instrText xml:space="preserve"> SEQ Table \* ARABIC </w:instrText>
      </w:r>
      <w:r w:rsidRPr="00426A6F">
        <w:rPr>
          <w:b/>
          <w:iCs/>
        </w:rPr>
        <w:fldChar w:fldCharType="separate"/>
      </w:r>
      <w:r w:rsidRPr="00426A6F">
        <w:rPr>
          <w:b/>
          <w:iCs/>
          <w:noProof/>
        </w:rPr>
        <w:t>26</w:t>
      </w:r>
      <w:r w:rsidRPr="00426A6F">
        <w:rPr>
          <w:b/>
          <w:iCs/>
          <w:noProof/>
        </w:rPr>
        <w:fldChar w:fldCharType="end"/>
      </w:r>
      <w:bookmarkEnd w:id="33"/>
      <w:r w:rsidRPr="00426A6F">
        <w:rPr>
          <w:b/>
          <w:iCs/>
        </w:rPr>
        <w:t xml:space="preserve">: Actuarially fair reduction coefficients (%) for early retirement for </w:t>
      </w:r>
      <w:r w:rsidRPr="00426A6F">
        <w:rPr>
          <w:b/>
          <w:bCs/>
          <w:iCs/>
        </w:rPr>
        <w:t>men</w:t>
      </w:r>
      <w:bookmarkEnd w:id="34"/>
    </w:p>
    <w:tbl>
      <w:tblPr>
        <w:tblW w:w="8400" w:type="dxa"/>
        <w:tblInd w:w="680" w:type="dxa"/>
        <w:tblLook w:val="04A0" w:firstRow="1" w:lastRow="0" w:firstColumn="1" w:lastColumn="0" w:noHBand="0" w:noVBand="1"/>
      </w:tblPr>
      <w:tblGrid>
        <w:gridCol w:w="1400"/>
        <w:gridCol w:w="1400"/>
        <w:gridCol w:w="1400"/>
        <w:gridCol w:w="1400"/>
        <w:gridCol w:w="1400"/>
        <w:gridCol w:w="1400"/>
      </w:tblGrid>
      <w:tr w:rsidR="00426A6F" w:rsidRPr="00426A6F" w14:paraId="78A976A8" w14:textId="77777777" w:rsidTr="00DF20A2">
        <w:trPr>
          <w:trHeight w:val="288"/>
        </w:trPr>
        <w:tc>
          <w:tcPr>
            <w:tcW w:w="1400" w:type="dxa"/>
            <w:tcBorders>
              <w:top w:val="single" w:sz="4" w:space="0" w:color="auto"/>
              <w:left w:val="single" w:sz="4" w:space="0" w:color="auto"/>
              <w:bottom w:val="single" w:sz="8" w:space="0" w:color="auto"/>
              <w:right w:val="nil"/>
            </w:tcBorders>
            <w:shd w:val="clear" w:color="9999FF" w:fill="D9D9D9"/>
            <w:noWrap/>
            <w:vAlign w:val="bottom"/>
            <w:hideMark/>
          </w:tcPr>
          <w:p w14:paraId="69F5C4EB" w14:textId="77777777" w:rsidR="00426A6F" w:rsidRPr="00426A6F" w:rsidRDefault="00426A6F" w:rsidP="00426A6F">
            <w:pPr>
              <w:keepNext/>
              <w:keepLines/>
              <w:spacing w:after="0" w:line="240" w:lineRule="auto"/>
              <w:jc w:val="center"/>
              <w:rPr>
                <w:rFonts w:eastAsia="Times New Roman" w:cs="Times New Roman"/>
                <w:b/>
                <w:bCs/>
                <w:color w:val="000000"/>
              </w:rPr>
            </w:pPr>
            <w:r w:rsidRPr="00426A6F">
              <w:rPr>
                <w:rFonts w:eastAsia="Times New Roman" w:cs="Times New Roman"/>
                <w:b/>
                <w:bCs/>
                <w:color w:val="000000"/>
              </w:rPr>
              <w:t>Age</w:t>
            </w:r>
          </w:p>
        </w:tc>
        <w:tc>
          <w:tcPr>
            <w:tcW w:w="1400" w:type="dxa"/>
            <w:tcBorders>
              <w:top w:val="single" w:sz="4" w:space="0" w:color="auto"/>
              <w:left w:val="single" w:sz="4" w:space="0" w:color="auto"/>
              <w:bottom w:val="single" w:sz="8" w:space="0" w:color="auto"/>
              <w:right w:val="nil"/>
            </w:tcBorders>
            <w:shd w:val="clear" w:color="9999FF" w:fill="D9D9D9"/>
            <w:noWrap/>
            <w:vAlign w:val="bottom"/>
            <w:hideMark/>
          </w:tcPr>
          <w:p w14:paraId="14904E34" w14:textId="77777777" w:rsidR="00426A6F" w:rsidRPr="00426A6F" w:rsidRDefault="00426A6F" w:rsidP="00426A6F">
            <w:pPr>
              <w:keepNext/>
              <w:keepLines/>
              <w:spacing w:after="0" w:line="240" w:lineRule="auto"/>
              <w:jc w:val="center"/>
              <w:rPr>
                <w:rFonts w:eastAsia="Times New Roman" w:cs="Times New Roman"/>
                <w:b/>
                <w:bCs/>
                <w:color w:val="000000"/>
              </w:rPr>
            </w:pPr>
            <w:r w:rsidRPr="00426A6F">
              <w:rPr>
                <w:rFonts w:eastAsia="Times New Roman" w:cs="Times New Roman"/>
                <w:b/>
                <w:bCs/>
                <w:color w:val="000000"/>
              </w:rPr>
              <w:t>2015</w:t>
            </w:r>
          </w:p>
        </w:tc>
        <w:tc>
          <w:tcPr>
            <w:tcW w:w="1400" w:type="dxa"/>
            <w:tcBorders>
              <w:top w:val="single" w:sz="4" w:space="0" w:color="auto"/>
              <w:left w:val="single" w:sz="4" w:space="0" w:color="auto"/>
              <w:bottom w:val="single" w:sz="8" w:space="0" w:color="auto"/>
              <w:right w:val="nil"/>
            </w:tcBorders>
            <w:shd w:val="clear" w:color="9999FF" w:fill="D9D9D9"/>
            <w:noWrap/>
            <w:vAlign w:val="bottom"/>
            <w:hideMark/>
          </w:tcPr>
          <w:p w14:paraId="7F14EAC4" w14:textId="77777777" w:rsidR="00426A6F" w:rsidRPr="00426A6F" w:rsidRDefault="00426A6F" w:rsidP="00426A6F">
            <w:pPr>
              <w:keepNext/>
              <w:keepLines/>
              <w:spacing w:after="0" w:line="240" w:lineRule="auto"/>
              <w:jc w:val="center"/>
              <w:rPr>
                <w:rFonts w:eastAsia="Times New Roman" w:cs="Times New Roman"/>
                <w:b/>
                <w:bCs/>
                <w:color w:val="000000"/>
              </w:rPr>
            </w:pPr>
            <w:r w:rsidRPr="00426A6F">
              <w:rPr>
                <w:rFonts w:eastAsia="Times New Roman" w:cs="Times New Roman"/>
                <w:b/>
                <w:bCs/>
                <w:color w:val="000000"/>
              </w:rPr>
              <w:t>2020</w:t>
            </w:r>
          </w:p>
        </w:tc>
        <w:tc>
          <w:tcPr>
            <w:tcW w:w="1400" w:type="dxa"/>
            <w:tcBorders>
              <w:top w:val="single" w:sz="4" w:space="0" w:color="auto"/>
              <w:left w:val="single" w:sz="4" w:space="0" w:color="auto"/>
              <w:bottom w:val="single" w:sz="8" w:space="0" w:color="auto"/>
              <w:right w:val="nil"/>
            </w:tcBorders>
            <w:shd w:val="clear" w:color="9999FF" w:fill="D9D9D9"/>
            <w:noWrap/>
            <w:vAlign w:val="bottom"/>
            <w:hideMark/>
          </w:tcPr>
          <w:p w14:paraId="607F6526" w14:textId="77777777" w:rsidR="00426A6F" w:rsidRPr="00426A6F" w:rsidRDefault="00426A6F" w:rsidP="00426A6F">
            <w:pPr>
              <w:keepNext/>
              <w:keepLines/>
              <w:spacing w:after="0" w:line="240" w:lineRule="auto"/>
              <w:jc w:val="center"/>
              <w:rPr>
                <w:rFonts w:eastAsia="Times New Roman" w:cs="Times New Roman"/>
                <w:b/>
                <w:bCs/>
                <w:color w:val="000000"/>
              </w:rPr>
            </w:pPr>
            <w:r w:rsidRPr="00426A6F">
              <w:rPr>
                <w:rFonts w:eastAsia="Times New Roman" w:cs="Times New Roman"/>
                <w:b/>
                <w:bCs/>
                <w:color w:val="000000"/>
              </w:rPr>
              <w:t>2030</w:t>
            </w:r>
          </w:p>
        </w:tc>
        <w:tc>
          <w:tcPr>
            <w:tcW w:w="1400" w:type="dxa"/>
            <w:tcBorders>
              <w:top w:val="single" w:sz="4" w:space="0" w:color="auto"/>
              <w:left w:val="single" w:sz="4" w:space="0" w:color="auto"/>
              <w:bottom w:val="single" w:sz="8" w:space="0" w:color="auto"/>
              <w:right w:val="nil"/>
            </w:tcBorders>
            <w:shd w:val="clear" w:color="9999FF" w:fill="D9D9D9"/>
            <w:noWrap/>
            <w:vAlign w:val="bottom"/>
            <w:hideMark/>
          </w:tcPr>
          <w:p w14:paraId="12585E11" w14:textId="77777777" w:rsidR="00426A6F" w:rsidRPr="00426A6F" w:rsidRDefault="00426A6F" w:rsidP="00426A6F">
            <w:pPr>
              <w:keepNext/>
              <w:keepLines/>
              <w:spacing w:after="0" w:line="240" w:lineRule="auto"/>
              <w:jc w:val="center"/>
              <w:rPr>
                <w:rFonts w:eastAsia="Times New Roman" w:cs="Times New Roman"/>
                <w:b/>
                <w:bCs/>
                <w:color w:val="000000"/>
              </w:rPr>
            </w:pPr>
            <w:r w:rsidRPr="00426A6F">
              <w:rPr>
                <w:rFonts w:eastAsia="Times New Roman" w:cs="Times New Roman"/>
                <w:b/>
                <w:bCs/>
                <w:color w:val="000000"/>
              </w:rPr>
              <w:t>2040</w:t>
            </w:r>
          </w:p>
        </w:tc>
        <w:tc>
          <w:tcPr>
            <w:tcW w:w="1400" w:type="dxa"/>
            <w:tcBorders>
              <w:top w:val="single" w:sz="4" w:space="0" w:color="auto"/>
              <w:left w:val="single" w:sz="4" w:space="0" w:color="auto"/>
              <w:bottom w:val="single" w:sz="8" w:space="0" w:color="auto"/>
              <w:right w:val="nil"/>
            </w:tcBorders>
            <w:shd w:val="clear" w:color="9999FF" w:fill="D9D9D9"/>
            <w:noWrap/>
            <w:vAlign w:val="bottom"/>
            <w:hideMark/>
          </w:tcPr>
          <w:p w14:paraId="631D5DEF" w14:textId="77777777" w:rsidR="00426A6F" w:rsidRPr="00426A6F" w:rsidRDefault="00426A6F" w:rsidP="00426A6F">
            <w:pPr>
              <w:keepNext/>
              <w:keepLines/>
              <w:spacing w:after="0" w:line="240" w:lineRule="auto"/>
              <w:jc w:val="center"/>
              <w:rPr>
                <w:rFonts w:eastAsia="Times New Roman" w:cs="Times New Roman"/>
                <w:b/>
                <w:bCs/>
                <w:color w:val="000000"/>
              </w:rPr>
            </w:pPr>
            <w:r w:rsidRPr="00426A6F">
              <w:rPr>
                <w:rFonts w:eastAsia="Times New Roman" w:cs="Times New Roman"/>
                <w:b/>
                <w:bCs/>
                <w:color w:val="000000"/>
              </w:rPr>
              <w:t>2050</w:t>
            </w:r>
          </w:p>
        </w:tc>
      </w:tr>
      <w:tr w:rsidR="00426A6F" w:rsidRPr="00426A6F" w14:paraId="64C7AB16" w14:textId="77777777" w:rsidTr="00DF20A2">
        <w:trPr>
          <w:trHeight w:val="276"/>
        </w:trPr>
        <w:tc>
          <w:tcPr>
            <w:tcW w:w="1400" w:type="dxa"/>
            <w:tcBorders>
              <w:top w:val="nil"/>
              <w:left w:val="single" w:sz="4" w:space="0" w:color="auto"/>
              <w:bottom w:val="nil"/>
              <w:right w:val="nil"/>
            </w:tcBorders>
            <w:shd w:val="pct75" w:color="FFFFFF" w:fill="FFFFFF"/>
            <w:noWrap/>
            <w:vAlign w:val="bottom"/>
            <w:hideMark/>
          </w:tcPr>
          <w:p w14:paraId="183A0D42"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45</w:t>
            </w:r>
          </w:p>
        </w:tc>
        <w:tc>
          <w:tcPr>
            <w:tcW w:w="1400" w:type="dxa"/>
            <w:tcBorders>
              <w:top w:val="nil"/>
              <w:left w:val="single" w:sz="4" w:space="0" w:color="auto"/>
              <w:bottom w:val="nil"/>
              <w:right w:val="nil"/>
            </w:tcBorders>
            <w:shd w:val="pct75" w:color="FFFFFF" w:fill="FFFFFF"/>
            <w:noWrap/>
            <w:vAlign w:val="bottom"/>
            <w:hideMark/>
          </w:tcPr>
          <w:p w14:paraId="061B6B21"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49%</w:t>
            </w:r>
          </w:p>
        </w:tc>
        <w:tc>
          <w:tcPr>
            <w:tcW w:w="1400" w:type="dxa"/>
            <w:tcBorders>
              <w:top w:val="nil"/>
              <w:left w:val="single" w:sz="4" w:space="0" w:color="auto"/>
              <w:bottom w:val="nil"/>
              <w:right w:val="nil"/>
            </w:tcBorders>
            <w:shd w:val="pct75" w:color="FFFFFF" w:fill="FFFFFF"/>
            <w:noWrap/>
            <w:vAlign w:val="bottom"/>
            <w:hideMark/>
          </w:tcPr>
          <w:p w14:paraId="64E995C5"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48%</w:t>
            </w:r>
          </w:p>
        </w:tc>
        <w:tc>
          <w:tcPr>
            <w:tcW w:w="1400" w:type="dxa"/>
            <w:tcBorders>
              <w:top w:val="nil"/>
              <w:left w:val="single" w:sz="4" w:space="0" w:color="auto"/>
              <w:bottom w:val="nil"/>
              <w:right w:val="nil"/>
            </w:tcBorders>
            <w:shd w:val="pct75" w:color="FFFFFF" w:fill="FFFFFF"/>
            <w:noWrap/>
            <w:vAlign w:val="bottom"/>
            <w:hideMark/>
          </w:tcPr>
          <w:p w14:paraId="70239D07"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47%</w:t>
            </w:r>
          </w:p>
        </w:tc>
        <w:tc>
          <w:tcPr>
            <w:tcW w:w="1400" w:type="dxa"/>
            <w:tcBorders>
              <w:top w:val="nil"/>
              <w:left w:val="single" w:sz="4" w:space="0" w:color="auto"/>
              <w:bottom w:val="nil"/>
              <w:right w:val="nil"/>
            </w:tcBorders>
            <w:shd w:val="pct75" w:color="FFFFFF" w:fill="FFFFFF"/>
            <w:noWrap/>
            <w:vAlign w:val="bottom"/>
            <w:hideMark/>
          </w:tcPr>
          <w:p w14:paraId="214BF60E"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46%</w:t>
            </w:r>
          </w:p>
        </w:tc>
        <w:tc>
          <w:tcPr>
            <w:tcW w:w="1400" w:type="dxa"/>
            <w:tcBorders>
              <w:top w:val="nil"/>
              <w:left w:val="single" w:sz="4" w:space="0" w:color="auto"/>
              <w:bottom w:val="nil"/>
              <w:right w:val="single" w:sz="4" w:space="0" w:color="auto"/>
            </w:tcBorders>
            <w:shd w:val="pct75" w:color="FFFFFF" w:fill="FFFFFF"/>
            <w:noWrap/>
            <w:vAlign w:val="bottom"/>
            <w:hideMark/>
          </w:tcPr>
          <w:p w14:paraId="7A2B28C3"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45%</w:t>
            </w:r>
          </w:p>
        </w:tc>
      </w:tr>
      <w:tr w:rsidR="00426A6F" w:rsidRPr="00426A6F" w14:paraId="1BEA4E5A" w14:textId="77777777" w:rsidTr="00DF20A2">
        <w:trPr>
          <w:trHeight w:val="276"/>
        </w:trPr>
        <w:tc>
          <w:tcPr>
            <w:tcW w:w="1400" w:type="dxa"/>
            <w:tcBorders>
              <w:top w:val="nil"/>
              <w:left w:val="single" w:sz="4" w:space="0" w:color="auto"/>
              <w:bottom w:val="nil"/>
              <w:right w:val="nil"/>
            </w:tcBorders>
            <w:shd w:val="pct75" w:color="FFFFFF" w:fill="FFFFFF"/>
            <w:noWrap/>
            <w:vAlign w:val="bottom"/>
            <w:hideMark/>
          </w:tcPr>
          <w:p w14:paraId="5AFB5AB5"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46</w:t>
            </w:r>
          </w:p>
        </w:tc>
        <w:tc>
          <w:tcPr>
            <w:tcW w:w="1400" w:type="dxa"/>
            <w:tcBorders>
              <w:top w:val="nil"/>
              <w:left w:val="single" w:sz="4" w:space="0" w:color="auto"/>
              <w:bottom w:val="nil"/>
              <w:right w:val="nil"/>
            </w:tcBorders>
            <w:shd w:val="pct75" w:color="FFFFFF" w:fill="FFFFFF"/>
            <w:noWrap/>
            <w:vAlign w:val="bottom"/>
            <w:hideMark/>
          </w:tcPr>
          <w:p w14:paraId="77D3CB49"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47%</w:t>
            </w:r>
          </w:p>
        </w:tc>
        <w:tc>
          <w:tcPr>
            <w:tcW w:w="1400" w:type="dxa"/>
            <w:tcBorders>
              <w:top w:val="nil"/>
              <w:left w:val="single" w:sz="4" w:space="0" w:color="auto"/>
              <w:bottom w:val="nil"/>
              <w:right w:val="nil"/>
            </w:tcBorders>
            <w:shd w:val="pct75" w:color="FFFFFF" w:fill="FFFFFF"/>
            <w:noWrap/>
            <w:vAlign w:val="bottom"/>
            <w:hideMark/>
          </w:tcPr>
          <w:p w14:paraId="132AA130"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46%</w:t>
            </w:r>
          </w:p>
        </w:tc>
        <w:tc>
          <w:tcPr>
            <w:tcW w:w="1400" w:type="dxa"/>
            <w:tcBorders>
              <w:top w:val="nil"/>
              <w:left w:val="single" w:sz="4" w:space="0" w:color="auto"/>
              <w:bottom w:val="nil"/>
              <w:right w:val="nil"/>
            </w:tcBorders>
            <w:shd w:val="pct75" w:color="FFFFFF" w:fill="FFFFFF"/>
            <w:noWrap/>
            <w:vAlign w:val="bottom"/>
            <w:hideMark/>
          </w:tcPr>
          <w:p w14:paraId="6576770B"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45%</w:t>
            </w:r>
          </w:p>
        </w:tc>
        <w:tc>
          <w:tcPr>
            <w:tcW w:w="1400" w:type="dxa"/>
            <w:tcBorders>
              <w:top w:val="nil"/>
              <w:left w:val="single" w:sz="4" w:space="0" w:color="auto"/>
              <w:bottom w:val="nil"/>
              <w:right w:val="nil"/>
            </w:tcBorders>
            <w:shd w:val="pct75" w:color="FFFFFF" w:fill="FFFFFF"/>
            <w:noWrap/>
            <w:vAlign w:val="bottom"/>
            <w:hideMark/>
          </w:tcPr>
          <w:p w14:paraId="0CC1BB37"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44%</w:t>
            </w:r>
          </w:p>
        </w:tc>
        <w:tc>
          <w:tcPr>
            <w:tcW w:w="1400" w:type="dxa"/>
            <w:tcBorders>
              <w:top w:val="nil"/>
              <w:left w:val="single" w:sz="4" w:space="0" w:color="auto"/>
              <w:bottom w:val="nil"/>
              <w:right w:val="single" w:sz="4" w:space="0" w:color="auto"/>
            </w:tcBorders>
            <w:shd w:val="pct75" w:color="FFFFFF" w:fill="FFFFFF"/>
            <w:noWrap/>
            <w:vAlign w:val="bottom"/>
            <w:hideMark/>
          </w:tcPr>
          <w:p w14:paraId="7F37D4C4"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44%</w:t>
            </w:r>
          </w:p>
        </w:tc>
      </w:tr>
      <w:tr w:rsidR="00426A6F" w:rsidRPr="00426A6F" w14:paraId="6A186E0E" w14:textId="77777777" w:rsidTr="00DF20A2">
        <w:trPr>
          <w:trHeight w:val="276"/>
        </w:trPr>
        <w:tc>
          <w:tcPr>
            <w:tcW w:w="1400" w:type="dxa"/>
            <w:tcBorders>
              <w:top w:val="nil"/>
              <w:left w:val="single" w:sz="4" w:space="0" w:color="auto"/>
              <w:bottom w:val="nil"/>
              <w:right w:val="nil"/>
            </w:tcBorders>
            <w:shd w:val="pct75" w:color="FFFFFF" w:fill="FFFFFF"/>
            <w:noWrap/>
            <w:vAlign w:val="bottom"/>
            <w:hideMark/>
          </w:tcPr>
          <w:p w14:paraId="06CCA2F3"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47</w:t>
            </w:r>
          </w:p>
        </w:tc>
        <w:tc>
          <w:tcPr>
            <w:tcW w:w="1400" w:type="dxa"/>
            <w:tcBorders>
              <w:top w:val="nil"/>
              <w:left w:val="single" w:sz="4" w:space="0" w:color="auto"/>
              <w:bottom w:val="nil"/>
              <w:right w:val="nil"/>
            </w:tcBorders>
            <w:shd w:val="pct75" w:color="FFFFFF" w:fill="FFFFFF"/>
            <w:noWrap/>
            <w:vAlign w:val="bottom"/>
            <w:hideMark/>
          </w:tcPr>
          <w:p w14:paraId="7393E5FE"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45%</w:t>
            </w:r>
          </w:p>
        </w:tc>
        <w:tc>
          <w:tcPr>
            <w:tcW w:w="1400" w:type="dxa"/>
            <w:tcBorders>
              <w:top w:val="nil"/>
              <w:left w:val="single" w:sz="4" w:space="0" w:color="auto"/>
              <w:bottom w:val="nil"/>
              <w:right w:val="nil"/>
            </w:tcBorders>
            <w:shd w:val="pct75" w:color="FFFFFF" w:fill="FFFFFF"/>
            <w:noWrap/>
            <w:vAlign w:val="bottom"/>
            <w:hideMark/>
          </w:tcPr>
          <w:p w14:paraId="0BEB3770"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45%</w:t>
            </w:r>
          </w:p>
        </w:tc>
        <w:tc>
          <w:tcPr>
            <w:tcW w:w="1400" w:type="dxa"/>
            <w:tcBorders>
              <w:top w:val="nil"/>
              <w:left w:val="single" w:sz="4" w:space="0" w:color="auto"/>
              <w:bottom w:val="nil"/>
              <w:right w:val="nil"/>
            </w:tcBorders>
            <w:shd w:val="pct75" w:color="FFFFFF" w:fill="FFFFFF"/>
            <w:noWrap/>
            <w:vAlign w:val="bottom"/>
            <w:hideMark/>
          </w:tcPr>
          <w:p w14:paraId="59BA8865"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43%</w:t>
            </w:r>
          </w:p>
        </w:tc>
        <w:tc>
          <w:tcPr>
            <w:tcW w:w="1400" w:type="dxa"/>
            <w:tcBorders>
              <w:top w:val="nil"/>
              <w:left w:val="single" w:sz="4" w:space="0" w:color="auto"/>
              <w:bottom w:val="nil"/>
              <w:right w:val="nil"/>
            </w:tcBorders>
            <w:shd w:val="pct75" w:color="FFFFFF" w:fill="FFFFFF"/>
            <w:noWrap/>
            <w:vAlign w:val="bottom"/>
            <w:hideMark/>
          </w:tcPr>
          <w:p w14:paraId="640F7A2F"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42%</w:t>
            </w:r>
          </w:p>
        </w:tc>
        <w:tc>
          <w:tcPr>
            <w:tcW w:w="1400" w:type="dxa"/>
            <w:tcBorders>
              <w:top w:val="nil"/>
              <w:left w:val="single" w:sz="4" w:space="0" w:color="auto"/>
              <w:bottom w:val="nil"/>
              <w:right w:val="single" w:sz="4" w:space="0" w:color="auto"/>
            </w:tcBorders>
            <w:shd w:val="pct75" w:color="FFFFFF" w:fill="FFFFFF"/>
            <w:noWrap/>
            <w:vAlign w:val="bottom"/>
            <w:hideMark/>
          </w:tcPr>
          <w:p w14:paraId="40CF41B4"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42%</w:t>
            </w:r>
          </w:p>
        </w:tc>
      </w:tr>
      <w:tr w:rsidR="00426A6F" w:rsidRPr="00426A6F" w14:paraId="284D0E22" w14:textId="77777777" w:rsidTr="00DF20A2">
        <w:trPr>
          <w:trHeight w:val="276"/>
        </w:trPr>
        <w:tc>
          <w:tcPr>
            <w:tcW w:w="1400" w:type="dxa"/>
            <w:tcBorders>
              <w:top w:val="nil"/>
              <w:left w:val="single" w:sz="4" w:space="0" w:color="auto"/>
              <w:bottom w:val="nil"/>
              <w:right w:val="nil"/>
            </w:tcBorders>
            <w:shd w:val="pct75" w:color="FFFFFF" w:fill="FFFFFF"/>
            <w:noWrap/>
            <w:vAlign w:val="bottom"/>
            <w:hideMark/>
          </w:tcPr>
          <w:p w14:paraId="4642FCDB"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48</w:t>
            </w:r>
          </w:p>
        </w:tc>
        <w:tc>
          <w:tcPr>
            <w:tcW w:w="1400" w:type="dxa"/>
            <w:tcBorders>
              <w:top w:val="nil"/>
              <w:left w:val="single" w:sz="4" w:space="0" w:color="auto"/>
              <w:bottom w:val="nil"/>
              <w:right w:val="nil"/>
            </w:tcBorders>
            <w:shd w:val="pct75" w:color="FFFFFF" w:fill="FFFFFF"/>
            <w:noWrap/>
            <w:vAlign w:val="bottom"/>
            <w:hideMark/>
          </w:tcPr>
          <w:p w14:paraId="12EB3B5F"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43%</w:t>
            </w:r>
          </w:p>
        </w:tc>
        <w:tc>
          <w:tcPr>
            <w:tcW w:w="1400" w:type="dxa"/>
            <w:tcBorders>
              <w:top w:val="nil"/>
              <w:left w:val="single" w:sz="4" w:space="0" w:color="auto"/>
              <w:bottom w:val="nil"/>
              <w:right w:val="nil"/>
            </w:tcBorders>
            <w:shd w:val="pct75" w:color="FFFFFF" w:fill="FFFFFF"/>
            <w:noWrap/>
            <w:vAlign w:val="bottom"/>
            <w:hideMark/>
          </w:tcPr>
          <w:p w14:paraId="65516EDF"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43%</w:t>
            </w:r>
          </w:p>
        </w:tc>
        <w:tc>
          <w:tcPr>
            <w:tcW w:w="1400" w:type="dxa"/>
            <w:tcBorders>
              <w:top w:val="nil"/>
              <w:left w:val="single" w:sz="4" w:space="0" w:color="auto"/>
              <w:bottom w:val="nil"/>
              <w:right w:val="nil"/>
            </w:tcBorders>
            <w:shd w:val="pct75" w:color="FFFFFF" w:fill="FFFFFF"/>
            <w:noWrap/>
            <w:vAlign w:val="bottom"/>
            <w:hideMark/>
          </w:tcPr>
          <w:p w14:paraId="0017462B"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41%</w:t>
            </w:r>
          </w:p>
        </w:tc>
        <w:tc>
          <w:tcPr>
            <w:tcW w:w="1400" w:type="dxa"/>
            <w:tcBorders>
              <w:top w:val="nil"/>
              <w:left w:val="single" w:sz="4" w:space="0" w:color="auto"/>
              <w:bottom w:val="nil"/>
              <w:right w:val="nil"/>
            </w:tcBorders>
            <w:shd w:val="pct75" w:color="FFFFFF" w:fill="FFFFFF"/>
            <w:noWrap/>
            <w:vAlign w:val="bottom"/>
            <w:hideMark/>
          </w:tcPr>
          <w:p w14:paraId="17EB9B57"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40%</w:t>
            </w:r>
          </w:p>
        </w:tc>
        <w:tc>
          <w:tcPr>
            <w:tcW w:w="1400" w:type="dxa"/>
            <w:tcBorders>
              <w:top w:val="nil"/>
              <w:left w:val="single" w:sz="4" w:space="0" w:color="auto"/>
              <w:bottom w:val="nil"/>
              <w:right w:val="single" w:sz="4" w:space="0" w:color="auto"/>
            </w:tcBorders>
            <w:shd w:val="pct75" w:color="FFFFFF" w:fill="FFFFFF"/>
            <w:noWrap/>
            <w:vAlign w:val="bottom"/>
            <w:hideMark/>
          </w:tcPr>
          <w:p w14:paraId="44B32988"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40%</w:t>
            </w:r>
          </w:p>
        </w:tc>
      </w:tr>
      <w:tr w:rsidR="00426A6F" w:rsidRPr="00426A6F" w14:paraId="0AE76740" w14:textId="77777777" w:rsidTr="00DF20A2">
        <w:trPr>
          <w:trHeight w:val="276"/>
        </w:trPr>
        <w:tc>
          <w:tcPr>
            <w:tcW w:w="1400" w:type="dxa"/>
            <w:tcBorders>
              <w:top w:val="nil"/>
              <w:left w:val="single" w:sz="4" w:space="0" w:color="auto"/>
              <w:bottom w:val="nil"/>
              <w:right w:val="nil"/>
            </w:tcBorders>
            <w:shd w:val="pct75" w:color="FFFFFF" w:fill="FFFFFF"/>
            <w:noWrap/>
            <w:vAlign w:val="bottom"/>
            <w:hideMark/>
          </w:tcPr>
          <w:p w14:paraId="2F23F9CE"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49</w:t>
            </w:r>
          </w:p>
        </w:tc>
        <w:tc>
          <w:tcPr>
            <w:tcW w:w="1400" w:type="dxa"/>
            <w:tcBorders>
              <w:top w:val="nil"/>
              <w:left w:val="single" w:sz="4" w:space="0" w:color="auto"/>
              <w:bottom w:val="nil"/>
              <w:right w:val="nil"/>
            </w:tcBorders>
            <w:shd w:val="pct75" w:color="FFFFFF" w:fill="FFFFFF"/>
            <w:noWrap/>
            <w:vAlign w:val="bottom"/>
            <w:hideMark/>
          </w:tcPr>
          <w:p w14:paraId="12332A4E"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41%</w:t>
            </w:r>
          </w:p>
        </w:tc>
        <w:tc>
          <w:tcPr>
            <w:tcW w:w="1400" w:type="dxa"/>
            <w:tcBorders>
              <w:top w:val="nil"/>
              <w:left w:val="single" w:sz="4" w:space="0" w:color="auto"/>
              <w:bottom w:val="nil"/>
              <w:right w:val="nil"/>
            </w:tcBorders>
            <w:shd w:val="pct75" w:color="FFFFFF" w:fill="FFFFFF"/>
            <w:noWrap/>
            <w:vAlign w:val="bottom"/>
            <w:hideMark/>
          </w:tcPr>
          <w:p w14:paraId="4FEABD57"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40%</w:t>
            </w:r>
          </w:p>
        </w:tc>
        <w:tc>
          <w:tcPr>
            <w:tcW w:w="1400" w:type="dxa"/>
            <w:tcBorders>
              <w:top w:val="nil"/>
              <w:left w:val="single" w:sz="4" w:space="0" w:color="auto"/>
              <w:bottom w:val="nil"/>
              <w:right w:val="nil"/>
            </w:tcBorders>
            <w:shd w:val="pct75" w:color="FFFFFF" w:fill="FFFFFF"/>
            <w:noWrap/>
            <w:vAlign w:val="bottom"/>
            <w:hideMark/>
          </w:tcPr>
          <w:p w14:paraId="7B6E859F"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39%</w:t>
            </w:r>
          </w:p>
        </w:tc>
        <w:tc>
          <w:tcPr>
            <w:tcW w:w="1400" w:type="dxa"/>
            <w:tcBorders>
              <w:top w:val="nil"/>
              <w:left w:val="single" w:sz="4" w:space="0" w:color="auto"/>
              <w:bottom w:val="nil"/>
              <w:right w:val="nil"/>
            </w:tcBorders>
            <w:shd w:val="pct75" w:color="FFFFFF" w:fill="FFFFFF"/>
            <w:noWrap/>
            <w:vAlign w:val="bottom"/>
            <w:hideMark/>
          </w:tcPr>
          <w:p w14:paraId="5A092EDA"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38%</w:t>
            </w:r>
          </w:p>
        </w:tc>
        <w:tc>
          <w:tcPr>
            <w:tcW w:w="1400" w:type="dxa"/>
            <w:tcBorders>
              <w:top w:val="nil"/>
              <w:left w:val="single" w:sz="4" w:space="0" w:color="auto"/>
              <w:bottom w:val="nil"/>
              <w:right w:val="single" w:sz="4" w:space="0" w:color="auto"/>
            </w:tcBorders>
            <w:shd w:val="pct75" w:color="FFFFFF" w:fill="FFFFFF"/>
            <w:noWrap/>
            <w:vAlign w:val="bottom"/>
            <w:hideMark/>
          </w:tcPr>
          <w:p w14:paraId="2D575868"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37%</w:t>
            </w:r>
          </w:p>
        </w:tc>
      </w:tr>
      <w:tr w:rsidR="00426A6F" w:rsidRPr="00426A6F" w14:paraId="2BE6C8D8" w14:textId="77777777" w:rsidTr="00DF20A2">
        <w:trPr>
          <w:trHeight w:val="276"/>
        </w:trPr>
        <w:tc>
          <w:tcPr>
            <w:tcW w:w="1400" w:type="dxa"/>
            <w:tcBorders>
              <w:top w:val="nil"/>
              <w:left w:val="single" w:sz="4" w:space="0" w:color="auto"/>
              <w:bottom w:val="nil"/>
              <w:right w:val="nil"/>
            </w:tcBorders>
            <w:shd w:val="pct75" w:color="FFFFFF" w:fill="FFFFFF"/>
            <w:noWrap/>
            <w:vAlign w:val="bottom"/>
            <w:hideMark/>
          </w:tcPr>
          <w:p w14:paraId="6A70B114"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50</w:t>
            </w:r>
          </w:p>
        </w:tc>
        <w:tc>
          <w:tcPr>
            <w:tcW w:w="1400" w:type="dxa"/>
            <w:tcBorders>
              <w:top w:val="nil"/>
              <w:left w:val="single" w:sz="4" w:space="0" w:color="auto"/>
              <w:bottom w:val="nil"/>
              <w:right w:val="nil"/>
            </w:tcBorders>
            <w:shd w:val="pct75" w:color="FFFFFF" w:fill="FFFFFF"/>
            <w:noWrap/>
            <w:vAlign w:val="bottom"/>
            <w:hideMark/>
          </w:tcPr>
          <w:p w14:paraId="00463A44"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38%</w:t>
            </w:r>
          </w:p>
        </w:tc>
        <w:tc>
          <w:tcPr>
            <w:tcW w:w="1400" w:type="dxa"/>
            <w:tcBorders>
              <w:top w:val="nil"/>
              <w:left w:val="single" w:sz="4" w:space="0" w:color="auto"/>
              <w:bottom w:val="nil"/>
              <w:right w:val="nil"/>
            </w:tcBorders>
            <w:shd w:val="pct75" w:color="FFFFFF" w:fill="FFFFFF"/>
            <w:noWrap/>
            <w:vAlign w:val="bottom"/>
            <w:hideMark/>
          </w:tcPr>
          <w:p w14:paraId="2135E8B2"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38%</w:t>
            </w:r>
          </w:p>
        </w:tc>
        <w:tc>
          <w:tcPr>
            <w:tcW w:w="1400" w:type="dxa"/>
            <w:tcBorders>
              <w:top w:val="nil"/>
              <w:left w:val="single" w:sz="4" w:space="0" w:color="auto"/>
              <w:bottom w:val="nil"/>
              <w:right w:val="nil"/>
            </w:tcBorders>
            <w:shd w:val="pct75" w:color="FFFFFF" w:fill="FFFFFF"/>
            <w:noWrap/>
            <w:vAlign w:val="bottom"/>
            <w:hideMark/>
          </w:tcPr>
          <w:p w14:paraId="2C2CABAA"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37%</w:t>
            </w:r>
          </w:p>
        </w:tc>
        <w:tc>
          <w:tcPr>
            <w:tcW w:w="1400" w:type="dxa"/>
            <w:tcBorders>
              <w:top w:val="nil"/>
              <w:left w:val="single" w:sz="4" w:space="0" w:color="auto"/>
              <w:bottom w:val="nil"/>
              <w:right w:val="nil"/>
            </w:tcBorders>
            <w:shd w:val="pct75" w:color="FFFFFF" w:fill="FFFFFF"/>
            <w:noWrap/>
            <w:vAlign w:val="bottom"/>
            <w:hideMark/>
          </w:tcPr>
          <w:p w14:paraId="48C2670F"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36%</w:t>
            </w:r>
          </w:p>
        </w:tc>
        <w:tc>
          <w:tcPr>
            <w:tcW w:w="1400" w:type="dxa"/>
            <w:tcBorders>
              <w:top w:val="nil"/>
              <w:left w:val="single" w:sz="4" w:space="0" w:color="auto"/>
              <w:bottom w:val="nil"/>
              <w:right w:val="single" w:sz="4" w:space="0" w:color="auto"/>
            </w:tcBorders>
            <w:shd w:val="pct75" w:color="FFFFFF" w:fill="FFFFFF"/>
            <w:noWrap/>
            <w:vAlign w:val="bottom"/>
            <w:hideMark/>
          </w:tcPr>
          <w:p w14:paraId="64F87D2B"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35%</w:t>
            </w:r>
          </w:p>
        </w:tc>
      </w:tr>
      <w:tr w:rsidR="00426A6F" w:rsidRPr="00426A6F" w14:paraId="07352040" w14:textId="77777777" w:rsidTr="00DF20A2">
        <w:trPr>
          <w:trHeight w:val="276"/>
        </w:trPr>
        <w:tc>
          <w:tcPr>
            <w:tcW w:w="1400" w:type="dxa"/>
            <w:tcBorders>
              <w:top w:val="nil"/>
              <w:left w:val="single" w:sz="4" w:space="0" w:color="auto"/>
              <w:bottom w:val="nil"/>
              <w:right w:val="nil"/>
            </w:tcBorders>
            <w:shd w:val="pct75" w:color="FFFFFF" w:fill="FFFFFF"/>
            <w:noWrap/>
            <w:vAlign w:val="bottom"/>
            <w:hideMark/>
          </w:tcPr>
          <w:p w14:paraId="4FB3C15D"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51</w:t>
            </w:r>
          </w:p>
        </w:tc>
        <w:tc>
          <w:tcPr>
            <w:tcW w:w="1400" w:type="dxa"/>
            <w:tcBorders>
              <w:top w:val="nil"/>
              <w:left w:val="single" w:sz="4" w:space="0" w:color="auto"/>
              <w:bottom w:val="nil"/>
              <w:right w:val="nil"/>
            </w:tcBorders>
            <w:shd w:val="pct75" w:color="FFFFFF" w:fill="FFFFFF"/>
            <w:noWrap/>
            <w:vAlign w:val="bottom"/>
            <w:hideMark/>
          </w:tcPr>
          <w:p w14:paraId="3E0DDDC8"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36%</w:t>
            </w:r>
          </w:p>
        </w:tc>
        <w:tc>
          <w:tcPr>
            <w:tcW w:w="1400" w:type="dxa"/>
            <w:tcBorders>
              <w:top w:val="nil"/>
              <w:left w:val="single" w:sz="4" w:space="0" w:color="auto"/>
              <w:bottom w:val="nil"/>
              <w:right w:val="nil"/>
            </w:tcBorders>
            <w:shd w:val="pct75" w:color="FFFFFF" w:fill="FFFFFF"/>
            <w:noWrap/>
            <w:vAlign w:val="bottom"/>
            <w:hideMark/>
          </w:tcPr>
          <w:p w14:paraId="3502290F"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35%</w:t>
            </w:r>
          </w:p>
        </w:tc>
        <w:tc>
          <w:tcPr>
            <w:tcW w:w="1400" w:type="dxa"/>
            <w:tcBorders>
              <w:top w:val="nil"/>
              <w:left w:val="single" w:sz="4" w:space="0" w:color="auto"/>
              <w:bottom w:val="nil"/>
              <w:right w:val="nil"/>
            </w:tcBorders>
            <w:shd w:val="pct75" w:color="FFFFFF" w:fill="FFFFFF"/>
            <w:noWrap/>
            <w:vAlign w:val="bottom"/>
            <w:hideMark/>
          </w:tcPr>
          <w:p w14:paraId="2EEDF167"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34%</w:t>
            </w:r>
          </w:p>
        </w:tc>
        <w:tc>
          <w:tcPr>
            <w:tcW w:w="1400" w:type="dxa"/>
            <w:tcBorders>
              <w:top w:val="nil"/>
              <w:left w:val="single" w:sz="4" w:space="0" w:color="auto"/>
              <w:bottom w:val="nil"/>
              <w:right w:val="nil"/>
            </w:tcBorders>
            <w:shd w:val="pct75" w:color="FFFFFF" w:fill="FFFFFF"/>
            <w:noWrap/>
            <w:vAlign w:val="bottom"/>
            <w:hideMark/>
          </w:tcPr>
          <w:p w14:paraId="7952C4CC"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33%</w:t>
            </w:r>
          </w:p>
        </w:tc>
        <w:tc>
          <w:tcPr>
            <w:tcW w:w="1400" w:type="dxa"/>
            <w:tcBorders>
              <w:top w:val="nil"/>
              <w:left w:val="single" w:sz="4" w:space="0" w:color="auto"/>
              <w:bottom w:val="nil"/>
              <w:right w:val="single" w:sz="4" w:space="0" w:color="auto"/>
            </w:tcBorders>
            <w:shd w:val="pct75" w:color="FFFFFF" w:fill="FFFFFF"/>
            <w:noWrap/>
            <w:vAlign w:val="bottom"/>
            <w:hideMark/>
          </w:tcPr>
          <w:p w14:paraId="7754B1C7"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33%</w:t>
            </w:r>
          </w:p>
        </w:tc>
      </w:tr>
      <w:tr w:rsidR="00426A6F" w:rsidRPr="00426A6F" w14:paraId="0B04E038" w14:textId="77777777" w:rsidTr="00DF20A2">
        <w:trPr>
          <w:trHeight w:val="276"/>
        </w:trPr>
        <w:tc>
          <w:tcPr>
            <w:tcW w:w="1400" w:type="dxa"/>
            <w:tcBorders>
              <w:top w:val="nil"/>
              <w:left w:val="single" w:sz="4" w:space="0" w:color="auto"/>
              <w:bottom w:val="nil"/>
              <w:right w:val="nil"/>
            </w:tcBorders>
            <w:shd w:val="pct75" w:color="FFFFFF" w:fill="FFFFFF"/>
            <w:noWrap/>
            <w:vAlign w:val="bottom"/>
            <w:hideMark/>
          </w:tcPr>
          <w:p w14:paraId="1C22DB98"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52</w:t>
            </w:r>
          </w:p>
        </w:tc>
        <w:tc>
          <w:tcPr>
            <w:tcW w:w="1400" w:type="dxa"/>
            <w:tcBorders>
              <w:top w:val="nil"/>
              <w:left w:val="single" w:sz="4" w:space="0" w:color="auto"/>
              <w:bottom w:val="nil"/>
              <w:right w:val="nil"/>
            </w:tcBorders>
            <w:shd w:val="pct75" w:color="FFFFFF" w:fill="FFFFFF"/>
            <w:noWrap/>
            <w:vAlign w:val="bottom"/>
            <w:hideMark/>
          </w:tcPr>
          <w:p w14:paraId="004F0D5F"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33%</w:t>
            </w:r>
          </w:p>
        </w:tc>
        <w:tc>
          <w:tcPr>
            <w:tcW w:w="1400" w:type="dxa"/>
            <w:tcBorders>
              <w:top w:val="nil"/>
              <w:left w:val="single" w:sz="4" w:space="0" w:color="auto"/>
              <w:bottom w:val="nil"/>
              <w:right w:val="nil"/>
            </w:tcBorders>
            <w:shd w:val="pct75" w:color="FFFFFF" w:fill="FFFFFF"/>
            <w:noWrap/>
            <w:vAlign w:val="bottom"/>
            <w:hideMark/>
          </w:tcPr>
          <w:p w14:paraId="73C09CFF"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33%</w:t>
            </w:r>
          </w:p>
        </w:tc>
        <w:tc>
          <w:tcPr>
            <w:tcW w:w="1400" w:type="dxa"/>
            <w:tcBorders>
              <w:top w:val="nil"/>
              <w:left w:val="single" w:sz="4" w:space="0" w:color="auto"/>
              <w:bottom w:val="nil"/>
              <w:right w:val="nil"/>
            </w:tcBorders>
            <w:shd w:val="pct75" w:color="FFFFFF" w:fill="FFFFFF"/>
            <w:noWrap/>
            <w:vAlign w:val="bottom"/>
            <w:hideMark/>
          </w:tcPr>
          <w:p w14:paraId="3F53D847"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32%</w:t>
            </w:r>
          </w:p>
        </w:tc>
        <w:tc>
          <w:tcPr>
            <w:tcW w:w="1400" w:type="dxa"/>
            <w:tcBorders>
              <w:top w:val="nil"/>
              <w:left w:val="single" w:sz="4" w:space="0" w:color="auto"/>
              <w:bottom w:val="nil"/>
              <w:right w:val="nil"/>
            </w:tcBorders>
            <w:shd w:val="pct75" w:color="FFFFFF" w:fill="FFFFFF"/>
            <w:noWrap/>
            <w:vAlign w:val="bottom"/>
            <w:hideMark/>
          </w:tcPr>
          <w:p w14:paraId="0E9CE467"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31%</w:t>
            </w:r>
          </w:p>
        </w:tc>
        <w:tc>
          <w:tcPr>
            <w:tcW w:w="1400" w:type="dxa"/>
            <w:tcBorders>
              <w:top w:val="nil"/>
              <w:left w:val="single" w:sz="4" w:space="0" w:color="auto"/>
              <w:bottom w:val="nil"/>
              <w:right w:val="single" w:sz="4" w:space="0" w:color="auto"/>
            </w:tcBorders>
            <w:shd w:val="pct75" w:color="FFFFFF" w:fill="FFFFFF"/>
            <w:noWrap/>
            <w:vAlign w:val="bottom"/>
            <w:hideMark/>
          </w:tcPr>
          <w:p w14:paraId="33F2F745"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30%</w:t>
            </w:r>
          </w:p>
        </w:tc>
      </w:tr>
      <w:tr w:rsidR="00426A6F" w:rsidRPr="00426A6F" w14:paraId="2496BF6F" w14:textId="77777777" w:rsidTr="00DF20A2">
        <w:trPr>
          <w:trHeight w:val="276"/>
        </w:trPr>
        <w:tc>
          <w:tcPr>
            <w:tcW w:w="1400" w:type="dxa"/>
            <w:tcBorders>
              <w:top w:val="nil"/>
              <w:left w:val="single" w:sz="4" w:space="0" w:color="auto"/>
              <w:bottom w:val="nil"/>
              <w:right w:val="nil"/>
            </w:tcBorders>
            <w:shd w:val="pct75" w:color="FFFFFF" w:fill="FFFFFF"/>
            <w:noWrap/>
            <w:vAlign w:val="bottom"/>
            <w:hideMark/>
          </w:tcPr>
          <w:p w14:paraId="551A8921"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53</w:t>
            </w:r>
          </w:p>
        </w:tc>
        <w:tc>
          <w:tcPr>
            <w:tcW w:w="1400" w:type="dxa"/>
            <w:tcBorders>
              <w:top w:val="nil"/>
              <w:left w:val="single" w:sz="4" w:space="0" w:color="auto"/>
              <w:bottom w:val="nil"/>
              <w:right w:val="nil"/>
            </w:tcBorders>
            <w:shd w:val="pct75" w:color="FFFFFF" w:fill="FFFFFF"/>
            <w:noWrap/>
            <w:vAlign w:val="bottom"/>
            <w:hideMark/>
          </w:tcPr>
          <w:p w14:paraId="760B8715"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30%</w:t>
            </w:r>
          </w:p>
        </w:tc>
        <w:tc>
          <w:tcPr>
            <w:tcW w:w="1400" w:type="dxa"/>
            <w:tcBorders>
              <w:top w:val="nil"/>
              <w:left w:val="single" w:sz="4" w:space="0" w:color="auto"/>
              <w:bottom w:val="nil"/>
              <w:right w:val="nil"/>
            </w:tcBorders>
            <w:shd w:val="pct75" w:color="FFFFFF" w:fill="FFFFFF"/>
            <w:noWrap/>
            <w:vAlign w:val="bottom"/>
            <w:hideMark/>
          </w:tcPr>
          <w:p w14:paraId="334A3780"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30%</w:t>
            </w:r>
          </w:p>
        </w:tc>
        <w:tc>
          <w:tcPr>
            <w:tcW w:w="1400" w:type="dxa"/>
            <w:tcBorders>
              <w:top w:val="nil"/>
              <w:left w:val="single" w:sz="4" w:space="0" w:color="auto"/>
              <w:bottom w:val="nil"/>
              <w:right w:val="nil"/>
            </w:tcBorders>
            <w:shd w:val="pct75" w:color="FFFFFF" w:fill="FFFFFF"/>
            <w:noWrap/>
            <w:vAlign w:val="bottom"/>
            <w:hideMark/>
          </w:tcPr>
          <w:p w14:paraId="4140018A"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29%</w:t>
            </w:r>
          </w:p>
        </w:tc>
        <w:tc>
          <w:tcPr>
            <w:tcW w:w="1400" w:type="dxa"/>
            <w:tcBorders>
              <w:top w:val="nil"/>
              <w:left w:val="single" w:sz="4" w:space="0" w:color="auto"/>
              <w:bottom w:val="nil"/>
              <w:right w:val="nil"/>
            </w:tcBorders>
            <w:shd w:val="pct75" w:color="FFFFFF" w:fill="FFFFFF"/>
            <w:noWrap/>
            <w:vAlign w:val="bottom"/>
            <w:hideMark/>
          </w:tcPr>
          <w:p w14:paraId="4F87F561"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28%</w:t>
            </w:r>
          </w:p>
        </w:tc>
        <w:tc>
          <w:tcPr>
            <w:tcW w:w="1400" w:type="dxa"/>
            <w:tcBorders>
              <w:top w:val="nil"/>
              <w:left w:val="single" w:sz="4" w:space="0" w:color="auto"/>
              <w:bottom w:val="nil"/>
              <w:right w:val="single" w:sz="4" w:space="0" w:color="auto"/>
            </w:tcBorders>
            <w:shd w:val="pct75" w:color="FFFFFF" w:fill="FFFFFF"/>
            <w:noWrap/>
            <w:vAlign w:val="bottom"/>
            <w:hideMark/>
          </w:tcPr>
          <w:p w14:paraId="2DDD79CF"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27%</w:t>
            </w:r>
          </w:p>
        </w:tc>
      </w:tr>
      <w:tr w:rsidR="00426A6F" w:rsidRPr="00426A6F" w14:paraId="62E7E65F" w14:textId="77777777" w:rsidTr="00DF20A2">
        <w:trPr>
          <w:trHeight w:val="276"/>
        </w:trPr>
        <w:tc>
          <w:tcPr>
            <w:tcW w:w="1400" w:type="dxa"/>
            <w:tcBorders>
              <w:top w:val="nil"/>
              <w:left w:val="single" w:sz="4" w:space="0" w:color="auto"/>
              <w:bottom w:val="nil"/>
              <w:right w:val="nil"/>
            </w:tcBorders>
            <w:shd w:val="pct75" w:color="FFFFFF" w:fill="FFFFFF"/>
            <w:noWrap/>
            <w:vAlign w:val="bottom"/>
            <w:hideMark/>
          </w:tcPr>
          <w:p w14:paraId="463AD8DF"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54</w:t>
            </w:r>
          </w:p>
        </w:tc>
        <w:tc>
          <w:tcPr>
            <w:tcW w:w="1400" w:type="dxa"/>
            <w:tcBorders>
              <w:top w:val="nil"/>
              <w:left w:val="single" w:sz="4" w:space="0" w:color="auto"/>
              <w:bottom w:val="nil"/>
              <w:right w:val="nil"/>
            </w:tcBorders>
            <w:shd w:val="pct75" w:color="FFFFFF" w:fill="FFFFFF"/>
            <w:noWrap/>
            <w:vAlign w:val="bottom"/>
            <w:hideMark/>
          </w:tcPr>
          <w:p w14:paraId="5A9EAACB"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27%</w:t>
            </w:r>
          </w:p>
        </w:tc>
        <w:tc>
          <w:tcPr>
            <w:tcW w:w="1400" w:type="dxa"/>
            <w:tcBorders>
              <w:top w:val="nil"/>
              <w:left w:val="single" w:sz="4" w:space="0" w:color="auto"/>
              <w:bottom w:val="nil"/>
              <w:right w:val="nil"/>
            </w:tcBorders>
            <w:shd w:val="pct75" w:color="FFFFFF" w:fill="FFFFFF"/>
            <w:noWrap/>
            <w:vAlign w:val="bottom"/>
            <w:hideMark/>
          </w:tcPr>
          <w:p w14:paraId="140B080A"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27%</w:t>
            </w:r>
          </w:p>
        </w:tc>
        <w:tc>
          <w:tcPr>
            <w:tcW w:w="1400" w:type="dxa"/>
            <w:tcBorders>
              <w:top w:val="nil"/>
              <w:left w:val="single" w:sz="4" w:space="0" w:color="auto"/>
              <w:bottom w:val="nil"/>
              <w:right w:val="nil"/>
            </w:tcBorders>
            <w:shd w:val="pct75" w:color="FFFFFF" w:fill="FFFFFF"/>
            <w:noWrap/>
            <w:vAlign w:val="bottom"/>
            <w:hideMark/>
          </w:tcPr>
          <w:p w14:paraId="06401664"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26%</w:t>
            </w:r>
          </w:p>
        </w:tc>
        <w:tc>
          <w:tcPr>
            <w:tcW w:w="1400" w:type="dxa"/>
            <w:tcBorders>
              <w:top w:val="nil"/>
              <w:left w:val="single" w:sz="4" w:space="0" w:color="auto"/>
              <w:bottom w:val="nil"/>
              <w:right w:val="nil"/>
            </w:tcBorders>
            <w:shd w:val="pct75" w:color="FFFFFF" w:fill="FFFFFF"/>
            <w:noWrap/>
            <w:vAlign w:val="bottom"/>
            <w:hideMark/>
          </w:tcPr>
          <w:p w14:paraId="63A7BAFD"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25%</w:t>
            </w:r>
          </w:p>
        </w:tc>
        <w:tc>
          <w:tcPr>
            <w:tcW w:w="1400" w:type="dxa"/>
            <w:tcBorders>
              <w:top w:val="nil"/>
              <w:left w:val="single" w:sz="4" w:space="0" w:color="auto"/>
              <w:bottom w:val="nil"/>
              <w:right w:val="single" w:sz="4" w:space="0" w:color="auto"/>
            </w:tcBorders>
            <w:shd w:val="pct75" w:color="FFFFFF" w:fill="FFFFFF"/>
            <w:noWrap/>
            <w:vAlign w:val="bottom"/>
            <w:hideMark/>
          </w:tcPr>
          <w:p w14:paraId="34BD72BF"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24%</w:t>
            </w:r>
          </w:p>
        </w:tc>
      </w:tr>
      <w:tr w:rsidR="00426A6F" w:rsidRPr="00426A6F" w14:paraId="35DAA766" w14:textId="77777777" w:rsidTr="00DF20A2">
        <w:trPr>
          <w:trHeight w:val="276"/>
        </w:trPr>
        <w:tc>
          <w:tcPr>
            <w:tcW w:w="1400" w:type="dxa"/>
            <w:tcBorders>
              <w:top w:val="nil"/>
              <w:left w:val="single" w:sz="4" w:space="0" w:color="auto"/>
              <w:bottom w:val="nil"/>
              <w:right w:val="nil"/>
            </w:tcBorders>
            <w:shd w:val="pct75" w:color="FFFFFF" w:fill="FFFFFF"/>
            <w:noWrap/>
            <w:vAlign w:val="bottom"/>
            <w:hideMark/>
          </w:tcPr>
          <w:p w14:paraId="757DB44F" w14:textId="77777777" w:rsidR="00426A6F" w:rsidRPr="00426A6F" w:rsidRDefault="00426A6F" w:rsidP="00426A6F">
            <w:pPr>
              <w:keepNext/>
              <w:keepLines/>
              <w:spacing w:after="0" w:line="240" w:lineRule="auto"/>
              <w:jc w:val="center"/>
              <w:rPr>
                <w:rFonts w:eastAsia="Times New Roman" w:cs="Times New Roman"/>
                <w:b/>
                <w:bCs/>
                <w:color w:val="000000"/>
              </w:rPr>
            </w:pPr>
            <w:r w:rsidRPr="00426A6F">
              <w:rPr>
                <w:rFonts w:eastAsia="Times New Roman" w:cs="Times New Roman"/>
                <w:b/>
                <w:bCs/>
                <w:color w:val="000000"/>
              </w:rPr>
              <w:t>55</w:t>
            </w:r>
          </w:p>
        </w:tc>
        <w:tc>
          <w:tcPr>
            <w:tcW w:w="1400" w:type="dxa"/>
            <w:tcBorders>
              <w:top w:val="nil"/>
              <w:left w:val="single" w:sz="4" w:space="0" w:color="auto"/>
              <w:bottom w:val="nil"/>
              <w:right w:val="nil"/>
            </w:tcBorders>
            <w:shd w:val="pct75" w:color="FFFFFF" w:fill="FFFFFF"/>
            <w:noWrap/>
            <w:vAlign w:val="bottom"/>
            <w:hideMark/>
          </w:tcPr>
          <w:p w14:paraId="727B26D1" w14:textId="77777777" w:rsidR="00426A6F" w:rsidRPr="00426A6F" w:rsidRDefault="00426A6F" w:rsidP="00426A6F">
            <w:pPr>
              <w:keepNext/>
              <w:keepLines/>
              <w:spacing w:after="0" w:line="240" w:lineRule="auto"/>
              <w:jc w:val="center"/>
              <w:rPr>
                <w:rFonts w:eastAsia="Times New Roman" w:cs="Times New Roman"/>
                <w:b/>
                <w:bCs/>
                <w:color w:val="000000"/>
              </w:rPr>
            </w:pPr>
            <w:r w:rsidRPr="00426A6F">
              <w:rPr>
                <w:rFonts w:eastAsia="Times New Roman" w:cs="Times New Roman"/>
                <w:b/>
                <w:bCs/>
                <w:color w:val="000000"/>
              </w:rPr>
              <w:t>23%</w:t>
            </w:r>
          </w:p>
        </w:tc>
        <w:tc>
          <w:tcPr>
            <w:tcW w:w="1400" w:type="dxa"/>
            <w:tcBorders>
              <w:top w:val="nil"/>
              <w:left w:val="single" w:sz="4" w:space="0" w:color="auto"/>
              <w:bottom w:val="nil"/>
              <w:right w:val="nil"/>
            </w:tcBorders>
            <w:shd w:val="pct75" w:color="FFFFFF" w:fill="FFFFFF"/>
            <w:noWrap/>
            <w:vAlign w:val="bottom"/>
            <w:hideMark/>
          </w:tcPr>
          <w:p w14:paraId="798D2452"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23%</w:t>
            </w:r>
          </w:p>
        </w:tc>
        <w:tc>
          <w:tcPr>
            <w:tcW w:w="1400" w:type="dxa"/>
            <w:tcBorders>
              <w:top w:val="nil"/>
              <w:left w:val="single" w:sz="4" w:space="0" w:color="auto"/>
              <w:bottom w:val="nil"/>
              <w:right w:val="nil"/>
            </w:tcBorders>
            <w:shd w:val="pct75" w:color="FFFFFF" w:fill="FFFFFF"/>
            <w:noWrap/>
            <w:vAlign w:val="bottom"/>
            <w:hideMark/>
          </w:tcPr>
          <w:p w14:paraId="36B75C7E"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22%</w:t>
            </w:r>
          </w:p>
        </w:tc>
        <w:tc>
          <w:tcPr>
            <w:tcW w:w="1400" w:type="dxa"/>
            <w:tcBorders>
              <w:top w:val="nil"/>
              <w:left w:val="single" w:sz="4" w:space="0" w:color="auto"/>
              <w:bottom w:val="nil"/>
              <w:right w:val="nil"/>
            </w:tcBorders>
            <w:shd w:val="pct75" w:color="FFFFFF" w:fill="FFFFFF"/>
            <w:noWrap/>
            <w:vAlign w:val="bottom"/>
            <w:hideMark/>
          </w:tcPr>
          <w:p w14:paraId="33642D9C"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22%</w:t>
            </w:r>
          </w:p>
        </w:tc>
        <w:tc>
          <w:tcPr>
            <w:tcW w:w="1400" w:type="dxa"/>
            <w:tcBorders>
              <w:top w:val="nil"/>
              <w:left w:val="single" w:sz="4" w:space="0" w:color="auto"/>
              <w:bottom w:val="nil"/>
              <w:right w:val="single" w:sz="4" w:space="0" w:color="auto"/>
            </w:tcBorders>
            <w:shd w:val="pct75" w:color="FFFFFF" w:fill="FFFFFF"/>
            <w:noWrap/>
            <w:vAlign w:val="bottom"/>
            <w:hideMark/>
          </w:tcPr>
          <w:p w14:paraId="2536795D"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21%</w:t>
            </w:r>
          </w:p>
        </w:tc>
      </w:tr>
      <w:tr w:rsidR="00426A6F" w:rsidRPr="00426A6F" w14:paraId="57526AC6" w14:textId="77777777" w:rsidTr="00DF20A2">
        <w:trPr>
          <w:trHeight w:val="276"/>
        </w:trPr>
        <w:tc>
          <w:tcPr>
            <w:tcW w:w="1400" w:type="dxa"/>
            <w:tcBorders>
              <w:top w:val="nil"/>
              <w:left w:val="single" w:sz="4" w:space="0" w:color="auto"/>
              <w:bottom w:val="nil"/>
              <w:right w:val="nil"/>
            </w:tcBorders>
            <w:shd w:val="pct75" w:color="FFFFFF" w:fill="FFFFFF"/>
            <w:noWrap/>
            <w:vAlign w:val="bottom"/>
            <w:hideMark/>
          </w:tcPr>
          <w:p w14:paraId="2054B9E4"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56</w:t>
            </w:r>
          </w:p>
        </w:tc>
        <w:tc>
          <w:tcPr>
            <w:tcW w:w="1400" w:type="dxa"/>
            <w:tcBorders>
              <w:top w:val="nil"/>
              <w:left w:val="single" w:sz="4" w:space="0" w:color="auto"/>
              <w:bottom w:val="nil"/>
              <w:right w:val="nil"/>
            </w:tcBorders>
            <w:shd w:val="pct75" w:color="FFFFFF" w:fill="FFFFFF"/>
            <w:noWrap/>
            <w:vAlign w:val="bottom"/>
            <w:hideMark/>
          </w:tcPr>
          <w:p w14:paraId="6D6C1E64"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19%</w:t>
            </w:r>
          </w:p>
        </w:tc>
        <w:tc>
          <w:tcPr>
            <w:tcW w:w="1400" w:type="dxa"/>
            <w:tcBorders>
              <w:top w:val="nil"/>
              <w:left w:val="single" w:sz="4" w:space="0" w:color="auto"/>
              <w:bottom w:val="nil"/>
              <w:right w:val="nil"/>
            </w:tcBorders>
            <w:shd w:val="pct75" w:color="FFFFFF" w:fill="FFFFFF"/>
            <w:noWrap/>
            <w:vAlign w:val="bottom"/>
            <w:hideMark/>
          </w:tcPr>
          <w:p w14:paraId="67D6D5DE"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19%</w:t>
            </w:r>
          </w:p>
        </w:tc>
        <w:tc>
          <w:tcPr>
            <w:tcW w:w="1400" w:type="dxa"/>
            <w:tcBorders>
              <w:top w:val="nil"/>
              <w:left w:val="single" w:sz="4" w:space="0" w:color="auto"/>
              <w:bottom w:val="nil"/>
              <w:right w:val="nil"/>
            </w:tcBorders>
            <w:shd w:val="pct75" w:color="FFFFFF" w:fill="FFFFFF"/>
            <w:noWrap/>
            <w:vAlign w:val="bottom"/>
            <w:hideMark/>
          </w:tcPr>
          <w:p w14:paraId="37D78316"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19%</w:t>
            </w:r>
          </w:p>
        </w:tc>
        <w:tc>
          <w:tcPr>
            <w:tcW w:w="1400" w:type="dxa"/>
            <w:tcBorders>
              <w:top w:val="nil"/>
              <w:left w:val="single" w:sz="4" w:space="0" w:color="auto"/>
              <w:bottom w:val="nil"/>
              <w:right w:val="nil"/>
            </w:tcBorders>
            <w:shd w:val="pct75" w:color="FFFFFF" w:fill="FFFFFF"/>
            <w:noWrap/>
            <w:vAlign w:val="bottom"/>
            <w:hideMark/>
          </w:tcPr>
          <w:p w14:paraId="61CCA9DF"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18%</w:t>
            </w:r>
          </w:p>
        </w:tc>
        <w:tc>
          <w:tcPr>
            <w:tcW w:w="1400" w:type="dxa"/>
            <w:tcBorders>
              <w:top w:val="nil"/>
              <w:left w:val="single" w:sz="4" w:space="0" w:color="auto"/>
              <w:bottom w:val="nil"/>
              <w:right w:val="single" w:sz="4" w:space="0" w:color="auto"/>
            </w:tcBorders>
            <w:shd w:val="pct75" w:color="FFFFFF" w:fill="FFFFFF"/>
            <w:noWrap/>
            <w:vAlign w:val="bottom"/>
            <w:hideMark/>
          </w:tcPr>
          <w:p w14:paraId="039DC9C6"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17%</w:t>
            </w:r>
          </w:p>
        </w:tc>
      </w:tr>
      <w:tr w:rsidR="00426A6F" w:rsidRPr="00426A6F" w14:paraId="38E2EC67" w14:textId="77777777" w:rsidTr="00DF20A2">
        <w:trPr>
          <w:trHeight w:val="276"/>
        </w:trPr>
        <w:tc>
          <w:tcPr>
            <w:tcW w:w="1400" w:type="dxa"/>
            <w:tcBorders>
              <w:top w:val="nil"/>
              <w:left w:val="single" w:sz="4" w:space="0" w:color="auto"/>
              <w:bottom w:val="nil"/>
              <w:right w:val="nil"/>
            </w:tcBorders>
            <w:shd w:val="pct75" w:color="FFFFFF" w:fill="FFFFFF"/>
            <w:noWrap/>
            <w:vAlign w:val="bottom"/>
            <w:hideMark/>
          </w:tcPr>
          <w:p w14:paraId="0FD71077"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57</w:t>
            </w:r>
          </w:p>
        </w:tc>
        <w:tc>
          <w:tcPr>
            <w:tcW w:w="1400" w:type="dxa"/>
            <w:tcBorders>
              <w:top w:val="nil"/>
              <w:left w:val="single" w:sz="4" w:space="0" w:color="auto"/>
              <w:bottom w:val="nil"/>
              <w:right w:val="nil"/>
            </w:tcBorders>
            <w:shd w:val="pct75" w:color="FFFFFF" w:fill="FFFFFF"/>
            <w:noWrap/>
            <w:vAlign w:val="bottom"/>
            <w:hideMark/>
          </w:tcPr>
          <w:p w14:paraId="489F533C"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15%</w:t>
            </w:r>
          </w:p>
        </w:tc>
        <w:tc>
          <w:tcPr>
            <w:tcW w:w="1400" w:type="dxa"/>
            <w:tcBorders>
              <w:top w:val="nil"/>
              <w:left w:val="single" w:sz="4" w:space="0" w:color="auto"/>
              <w:bottom w:val="nil"/>
              <w:right w:val="nil"/>
            </w:tcBorders>
            <w:shd w:val="pct75" w:color="FFFFFF" w:fill="FFFFFF"/>
            <w:noWrap/>
            <w:vAlign w:val="bottom"/>
            <w:hideMark/>
          </w:tcPr>
          <w:p w14:paraId="234912DE"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15%</w:t>
            </w:r>
          </w:p>
        </w:tc>
        <w:tc>
          <w:tcPr>
            <w:tcW w:w="1400" w:type="dxa"/>
            <w:tcBorders>
              <w:top w:val="nil"/>
              <w:left w:val="single" w:sz="4" w:space="0" w:color="auto"/>
              <w:bottom w:val="nil"/>
              <w:right w:val="nil"/>
            </w:tcBorders>
            <w:shd w:val="pct75" w:color="FFFFFF" w:fill="FFFFFF"/>
            <w:noWrap/>
            <w:vAlign w:val="bottom"/>
            <w:hideMark/>
          </w:tcPr>
          <w:p w14:paraId="4565A1F8"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15%</w:t>
            </w:r>
          </w:p>
        </w:tc>
        <w:tc>
          <w:tcPr>
            <w:tcW w:w="1400" w:type="dxa"/>
            <w:tcBorders>
              <w:top w:val="nil"/>
              <w:left w:val="single" w:sz="4" w:space="0" w:color="auto"/>
              <w:bottom w:val="nil"/>
              <w:right w:val="nil"/>
            </w:tcBorders>
            <w:shd w:val="pct75" w:color="FFFFFF" w:fill="FFFFFF"/>
            <w:noWrap/>
            <w:vAlign w:val="bottom"/>
            <w:hideMark/>
          </w:tcPr>
          <w:p w14:paraId="67038055"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14%</w:t>
            </w:r>
          </w:p>
        </w:tc>
        <w:tc>
          <w:tcPr>
            <w:tcW w:w="1400" w:type="dxa"/>
            <w:tcBorders>
              <w:top w:val="nil"/>
              <w:left w:val="single" w:sz="4" w:space="0" w:color="auto"/>
              <w:bottom w:val="nil"/>
              <w:right w:val="single" w:sz="4" w:space="0" w:color="auto"/>
            </w:tcBorders>
            <w:shd w:val="pct75" w:color="FFFFFF" w:fill="FFFFFF"/>
            <w:noWrap/>
            <w:vAlign w:val="bottom"/>
            <w:hideMark/>
          </w:tcPr>
          <w:p w14:paraId="0C5F2389"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14%</w:t>
            </w:r>
          </w:p>
        </w:tc>
      </w:tr>
      <w:tr w:rsidR="00426A6F" w:rsidRPr="00426A6F" w14:paraId="6EF5F524" w14:textId="77777777" w:rsidTr="00DF20A2">
        <w:trPr>
          <w:trHeight w:val="276"/>
        </w:trPr>
        <w:tc>
          <w:tcPr>
            <w:tcW w:w="1400" w:type="dxa"/>
            <w:tcBorders>
              <w:top w:val="nil"/>
              <w:left w:val="single" w:sz="4" w:space="0" w:color="auto"/>
              <w:bottom w:val="nil"/>
              <w:right w:val="nil"/>
            </w:tcBorders>
            <w:shd w:val="pct75" w:color="FFFFFF" w:fill="FFFFFF"/>
            <w:noWrap/>
            <w:vAlign w:val="bottom"/>
            <w:hideMark/>
          </w:tcPr>
          <w:p w14:paraId="7493F6A5"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58</w:t>
            </w:r>
          </w:p>
        </w:tc>
        <w:tc>
          <w:tcPr>
            <w:tcW w:w="1400" w:type="dxa"/>
            <w:tcBorders>
              <w:top w:val="nil"/>
              <w:left w:val="single" w:sz="4" w:space="0" w:color="auto"/>
              <w:bottom w:val="nil"/>
              <w:right w:val="nil"/>
            </w:tcBorders>
            <w:shd w:val="pct75" w:color="FFFFFF" w:fill="FFFFFF"/>
            <w:noWrap/>
            <w:vAlign w:val="bottom"/>
            <w:hideMark/>
          </w:tcPr>
          <w:p w14:paraId="6B69FFDD"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11%</w:t>
            </w:r>
          </w:p>
        </w:tc>
        <w:tc>
          <w:tcPr>
            <w:tcW w:w="1400" w:type="dxa"/>
            <w:tcBorders>
              <w:top w:val="nil"/>
              <w:left w:val="single" w:sz="4" w:space="0" w:color="auto"/>
              <w:bottom w:val="nil"/>
              <w:right w:val="nil"/>
            </w:tcBorders>
            <w:shd w:val="pct75" w:color="FFFFFF" w:fill="FFFFFF"/>
            <w:noWrap/>
            <w:vAlign w:val="bottom"/>
            <w:hideMark/>
          </w:tcPr>
          <w:p w14:paraId="5C89BF17"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11%</w:t>
            </w:r>
          </w:p>
        </w:tc>
        <w:tc>
          <w:tcPr>
            <w:tcW w:w="1400" w:type="dxa"/>
            <w:tcBorders>
              <w:top w:val="nil"/>
              <w:left w:val="single" w:sz="4" w:space="0" w:color="auto"/>
              <w:bottom w:val="nil"/>
              <w:right w:val="nil"/>
            </w:tcBorders>
            <w:shd w:val="pct75" w:color="FFFFFF" w:fill="FFFFFF"/>
            <w:noWrap/>
            <w:vAlign w:val="bottom"/>
            <w:hideMark/>
          </w:tcPr>
          <w:p w14:paraId="2B74AE4C"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10%</w:t>
            </w:r>
          </w:p>
        </w:tc>
        <w:tc>
          <w:tcPr>
            <w:tcW w:w="1400" w:type="dxa"/>
            <w:tcBorders>
              <w:top w:val="nil"/>
              <w:left w:val="single" w:sz="4" w:space="0" w:color="auto"/>
              <w:bottom w:val="nil"/>
              <w:right w:val="nil"/>
            </w:tcBorders>
            <w:shd w:val="pct75" w:color="FFFFFF" w:fill="FFFFFF"/>
            <w:noWrap/>
            <w:vAlign w:val="bottom"/>
            <w:hideMark/>
          </w:tcPr>
          <w:p w14:paraId="364F6464"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10%</w:t>
            </w:r>
          </w:p>
        </w:tc>
        <w:tc>
          <w:tcPr>
            <w:tcW w:w="1400" w:type="dxa"/>
            <w:tcBorders>
              <w:top w:val="nil"/>
              <w:left w:val="single" w:sz="4" w:space="0" w:color="auto"/>
              <w:bottom w:val="nil"/>
              <w:right w:val="single" w:sz="4" w:space="0" w:color="auto"/>
            </w:tcBorders>
            <w:shd w:val="pct75" w:color="FFFFFF" w:fill="FFFFFF"/>
            <w:noWrap/>
            <w:vAlign w:val="bottom"/>
            <w:hideMark/>
          </w:tcPr>
          <w:p w14:paraId="1ECB0E72"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9%</w:t>
            </w:r>
          </w:p>
        </w:tc>
      </w:tr>
      <w:tr w:rsidR="00426A6F" w:rsidRPr="00426A6F" w14:paraId="2E1D6A7E" w14:textId="77777777" w:rsidTr="00DF20A2">
        <w:trPr>
          <w:trHeight w:val="276"/>
        </w:trPr>
        <w:tc>
          <w:tcPr>
            <w:tcW w:w="1400" w:type="dxa"/>
            <w:tcBorders>
              <w:top w:val="nil"/>
              <w:left w:val="single" w:sz="4" w:space="0" w:color="auto"/>
              <w:bottom w:val="single" w:sz="4" w:space="0" w:color="auto"/>
              <w:right w:val="nil"/>
            </w:tcBorders>
            <w:shd w:val="pct75" w:color="FFFFFF" w:fill="FFFFFF"/>
            <w:noWrap/>
            <w:vAlign w:val="bottom"/>
            <w:hideMark/>
          </w:tcPr>
          <w:p w14:paraId="6CCA5C16"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59</w:t>
            </w:r>
          </w:p>
        </w:tc>
        <w:tc>
          <w:tcPr>
            <w:tcW w:w="1400" w:type="dxa"/>
            <w:tcBorders>
              <w:top w:val="nil"/>
              <w:left w:val="single" w:sz="4" w:space="0" w:color="auto"/>
              <w:bottom w:val="single" w:sz="4" w:space="0" w:color="auto"/>
              <w:right w:val="nil"/>
            </w:tcBorders>
            <w:shd w:val="pct75" w:color="FFFFFF" w:fill="FFFFFF"/>
            <w:noWrap/>
            <w:vAlign w:val="bottom"/>
            <w:hideMark/>
          </w:tcPr>
          <w:p w14:paraId="2A3BBB7E"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6%</w:t>
            </w:r>
          </w:p>
        </w:tc>
        <w:tc>
          <w:tcPr>
            <w:tcW w:w="1400" w:type="dxa"/>
            <w:tcBorders>
              <w:top w:val="nil"/>
              <w:left w:val="single" w:sz="4" w:space="0" w:color="auto"/>
              <w:bottom w:val="single" w:sz="4" w:space="0" w:color="auto"/>
              <w:right w:val="nil"/>
            </w:tcBorders>
            <w:shd w:val="pct75" w:color="FFFFFF" w:fill="FFFFFF"/>
            <w:noWrap/>
            <w:vAlign w:val="bottom"/>
            <w:hideMark/>
          </w:tcPr>
          <w:p w14:paraId="5094A238"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6%</w:t>
            </w:r>
          </w:p>
        </w:tc>
        <w:tc>
          <w:tcPr>
            <w:tcW w:w="1400" w:type="dxa"/>
            <w:tcBorders>
              <w:top w:val="nil"/>
              <w:left w:val="single" w:sz="4" w:space="0" w:color="auto"/>
              <w:bottom w:val="single" w:sz="4" w:space="0" w:color="auto"/>
              <w:right w:val="nil"/>
            </w:tcBorders>
            <w:shd w:val="pct75" w:color="FFFFFF" w:fill="FFFFFF"/>
            <w:noWrap/>
            <w:vAlign w:val="bottom"/>
            <w:hideMark/>
          </w:tcPr>
          <w:p w14:paraId="71202930"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5%</w:t>
            </w:r>
          </w:p>
        </w:tc>
        <w:tc>
          <w:tcPr>
            <w:tcW w:w="1400" w:type="dxa"/>
            <w:tcBorders>
              <w:top w:val="nil"/>
              <w:left w:val="single" w:sz="4" w:space="0" w:color="auto"/>
              <w:bottom w:val="single" w:sz="4" w:space="0" w:color="auto"/>
              <w:right w:val="nil"/>
            </w:tcBorders>
            <w:shd w:val="pct75" w:color="FFFFFF" w:fill="FFFFFF"/>
            <w:noWrap/>
            <w:vAlign w:val="bottom"/>
            <w:hideMark/>
          </w:tcPr>
          <w:p w14:paraId="79D91763"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5%</w:t>
            </w:r>
          </w:p>
        </w:tc>
        <w:tc>
          <w:tcPr>
            <w:tcW w:w="1400" w:type="dxa"/>
            <w:tcBorders>
              <w:top w:val="nil"/>
              <w:left w:val="single" w:sz="4" w:space="0" w:color="auto"/>
              <w:bottom w:val="single" w:sz="4" w:space="0" w:color="auto"/>
              <w:right w:val="single" w:sz="4" w:space="0" w:color="auto"/>
            </w:tcBorders>
            <w:shd w:val="pct75" w:color="FFFFFF" w:fill="FFFFFF"/>
            <w:noWrap/>
            <w:vAlign w:val="bottom"/>
            <w:hideMark/>
          </w:tcPr>
          <w:p w14:paraId="18632209"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5%</w:t>
            </w:r>
          </w:p>
        </w:tc>
      </w:tr>
    </w:tbl>
    <w:p w14:paraId="398B3898" w14:textId="77777777" w:rsidR="00426A6F" w:rsidRPr="00426A6F" w:rsidRDefault="00426A6F" w:rsidP="00426A6F">
      <w:pPr>
        <w:spacing w:after="0" w:line="240" w:lineRule="auto"/>
        <w:ind w:right="-270"/>
        <w:jc w:val="both"/>
        <w:rPr>
          <w:rFonts w:ascii="Times New Roman" w:eastAsia="Times New Roman" w:hAnsi="Times New Roman" w:cs="Times New Roman"/>
        </w:rPr>
      </w:pPr>
    </w:p>
    <w:p w14:paraId="2D06EA60" w14:textId="77777777" w:rsidR="00426A6F" w:rsidRPr="00426A6F" w:rsidRDefault="00426A6F" w:rsidP="00426A6F">
      <w:pPr>
        <w:keepNext/>
        <w:keepLines/>
        <w:spacing w:after="0" w:line="240" w:lineRule="auto"/>
        <w:jc w:val="center"/>
        <w:rPr>
          <w:b/>
          <w:bCs/>
          <w:iCs/>
        </w:rPr>
      </w:pPr>
      <w:bookmarkStart w:id="35" w:name="_Ref422157870"/>
      <w:bookmarkStart w:id="36" w:name="_Toc422385119"/>
      <w:r w:rsidRPr="00426A6F">
        <w:rPr>
          <w:b/>
          <w:iCs/>
        </w:rPr>
        <w:t xml:space="preserve">Table </w:t>
      </w:r>
      <w:r w:rsidRPr="00426A6F">
        <w:rPr>
          <w:b/>
          <w:iCs/>
        </w:rPr>
        <w:fldChar w:fldCharType="begin"/>
      </w:r>
      <w:r w:rsidRPr="00426A6F">
        <w:rPr>
          <w:b/>
          <w:iCs/>
        </w:rPr>
        <w:instrText xml:space="preserve"> SEQ Table \* ARABIC </w:instrText>
      </w:r>
      <w:r w:rsidRPr="00426A6F">
        <w:rPr>
          <w:b/>
          <w:iCs/>
        </w:rPr>
        <w:fldChar w:fldCharType="separate"/>
      </w:r>
      <w:r w:rsidRPr="00426A6F">
        <w:rPr>
          <w:b/>
          <w:iCs/>
          <w:noProof/>
        </w:rPr>
        <w:t>27</w:t>
      </w:r>
      <w:r w:rsidRPr="00426A6F">
        <w:rPr>
          <w:b/>
          <w:iCs/>
          <w:noProof/>
        </w:rPr>
        <w:fldChar w:fldCharType="end"/>
      </w:r>
      <w:bookmarkEnd w:id="35"/>
      <w:r w:rsidRPr="00426A6F">
        <w:rPr>
          <w:b/>
          <w:iCs/>
        </w:rPr>
        <w:t xml:space="preserve">: Actuarially fair reduction coefficients for early retirement for </w:t>
      </w:r>
      <w:r w:rsidRPr="00426A6F">
        <w:rPr>
          <w:b/>
          <w:bCs/>
          <w:iCs/>
        </w:rPr>
        <w:t>women</w:t>
      </w:r>
      <w:bookmarkEnd w:id="36"/>
    </w:p>
    <w:tbl>
      <w:tblPr>
        <w:tblW w:w="8400" w:type="dxa"/>
        <w:tblInd w:w="680" w:type="dxa"/>
        <w:tblLook w:val="04A0" w:firstRow="1" w:lastRow="0" w:firstColumn="1" w:lastColumn="0" w:noHBand="0" w:noVBand="1"/>
      </w:tblPr>
      <w:tblGrid>
        <w:gridCol w:w="1400"/>
        <w:gridCol w:w="1400"/>
        <w:gridCol w:w="1400"/>
        <w:gridCol w:w="1400"/>
        <w:gridCol w:w="1400"/>
        <w:gridCol w:w="1400"/>
      </w:tblGrid>
      <w:tr w:rsidR="00426A6F" w:rsidRPr="00426A6F" w14:paraId="2F7EAF14" w14:textId="77777777" w:rsidTr="00DF20A2">
        <w:trPr>
          <w:trHeight w:val="288"/>
        </w:trPr>
        <w:tc>
          <w:tcPr>
            <w:tcW w:w="1400" w:type="dxa"/>
            <w:tcBorders>
              <w:top w:val="single" w:sz="4" w:space="0" w:color="auto"/>
              <w:left w:val="single" w:sz="4" w:space="0" w:color="auto"/>
              <w:bottom w:val="single" w:sz="8" w:space="0" w:color="auto"/>
              <w:right w:val="nil"/>
            </w:tcBorders>
            <w:shd w:val="clear" w:color="9999FF" w:fill="D9D9D9"/>
            <w:noWrap/>
            <w:vAlign w:val="bottom"/>
            <w:hideMark/>
          </w:tcPr>
          <w:p w14:paraId="7D5A1F77" w14:textId="77777777" w:rsidR="00426A6F" w:rsidRPr="00426A6F" w:rsidRDefault="00426A6F" w:rsidP="00426A6F">
            <w:pPr>
              <w:keepNext/>
              <w:keepLines/>
              <w:spacing w:after="0" w:line="240" w:lineRule="auto"/>
              <w:jc w:val="center"/>
              <w:rPr>
                <w:rFonts w:eastAsia="Times New Roman" w:cs="Times New Roman"/>
                <w:b/>
                <w:bCs/>
                <w:color w:val="000000"/>
              </w:rPr>
            </w:pPr>
            <w:r w:rsidRPr="00426A6F">
              <w:rPr>
                <w:rFonts w:eastAsia="Times New Roman" w:cs="Times New Roman"/>
                <w:b/>
                <w:bCs/>
                <w:color w:val="000000"/>
              </w:rPr>
              <w:t>Age</w:t>
            </w:r>
          </w:p>
        </w:tc>
        <w:tc>
          <w:tcPr>
            <w:tcW w:w="1400" w:type="dxa"/>
            <w:tcBorders>
              <w:top w:val="single" w:sz="4" w:space="0" w:color="auto"/>
              <w:left w:val="single" w:sz="4" w:space="0" w:color="auto"/>
              <w:bottom w:val="single" w:sz="8" w:space="0" w:color="auto"/>
              <w:right w:val="nil"/>
            </w:tcBorders>
            <w:shd w:val="clear" w:color="9999FF" w:fill="D9D9D9"/>
            <w:noWrap/>
            <w:vAlign w:val="bottom"/>
            <w:hideMark/>
          </w:tcPr>
          <w:p w14:paraId="05761A16" w14:textId="77777777" w:rsidR="00426A6F" w:rsidRPr="00426A6F" w:rsidRDefault="00426A6F" w:rsidP="00426A6F">
            <w:pPr>
              <w:keepNext/>
              <w:keepLines/>
              <w:spacing w:after="0" w:line="240" w:lineRule="auto"/>
              <w:jc w:val="center"/>
              <w:rPr>
                <w:rFonts w:eastAsia="Times New Roman" w:cs="Times New Roman"/>
                <w:b/>
                <w:bCs/>
                <w:color w:val="000000"/>
              </w:rPr>
            </w:pPr>
            <w:r w:rsidRPr="00426A6F">
              <w:rPr>
                <w:rFonts w:eastAsia="Times New Roman" w:cs="Times New Roman"/>
                <w:b/>
                <w:bCs/>
                <w:color w:val="000000"/>
              </w:rPr>
              <w:t>2015</w:t>
            </w:r>
          </w:p>
        </w:tc>
        <w:tc>
          <w:tcPr>
            <w:tcW w:w="1400" w:type="dxa"/>
            <w:tcBorders>
              <w:top w:val="single" w:sz="4" w:space="0" w:color="auto"/>
              <w:left w:val="single" w:sz="4" w:space="0" w:color="auto"/>
              <w:bottom w:val="single" w:sz="8" w:space="0" w:color="auto"/>
              <w:right w:val="nil"/>
            </w:tcBorders>
            <w:shd w:val="clear" w:color="9999FF" w:fill="D9D9D9"/>
            <w:noWrap/>
            <w:vAlign w:val="bottom"/>
            <w:hideMark/>
          </w:tcPr>
          <w:p w14:paraId="1ED3693A" w14:textId="77777777" w:rsidR="00426A6F" w:rsidRPr="00426A6F" w:rsidRDefault="00426A6F" w:rsidP="00426A6F">
            <w:pPr>
              <w:keepNext/>
              <w:keepLines/>
              <w:spacing w:after="0" w:line="240" w:lineRule="auto"/>
              <w:jc w:val="center"/>
              <w:rPr>
                <w:rFonts w:eastAsia="Times New Roman" w:cs="Times New Roman"/>
                <w:b/>
                <w:bCs/>
                <w:color w:val="000000"/>
              </w:rPr>
            </w:pPr>
            <w:r w:rsidRPr="00426A6F">
              <w:rPr>
                <w:rFonts w:eastAsia="Times New Roman" w:cs="Times New Roman"/>
                <w:b/>
                <w:bCs/>
                <w:color w:val="000000"/>
              </w:rPr>
              <w:t>2020</w:t>
            </w:r>
          </w:p>
        </w:tc>
        <w:tc>
          <w:tcPr>
            <w:tcW w:w="1400" w:type="dxa"/>
            <w:tcBorders>
              <w:top w:val="single" w:sz="4" w:space="0" w:color="auto"/>
              <w:left w:val="single" w:sz="4" w:space="0" w:color="auto"/>
              <w:bottom w:val="single" w:sz="8" w:space="0" w:color="auto"/>
              <w:right w:val="nil"/>
            </w:tcBorders>
            <w:shd w:val="clear" w:color="9999FF" w:fill="D9D9D9"/>
            <w:noWrap/>
            <w:vAlign w:val="bottom"/>
            <w:hideMark/>
          </w:tcPr>
          <w:p w14:paraId="2F78A87E" w14:textId="77777777" w:rsidR="00426A6F" w:rsidRPr="00426A6F" w:rsidRDefault="00426A6F" w:rsidP="00426A6F">
            <w:pPr>
              <w:keepNext/>
              <w:keepLines/>
              <w:spacing w:after="0" w:line="240" w:lineRule="auto"/>
              <w:jc w:val="center"/>
              <w:rPr>
                <w:rFonts w:eastAsia="Times New Roman" w:cs="Times New Roman"/>
                <w:b/>
                <w:bCs/>
                <w:color w:val="000000"/>
              </w:rPr>
            </w:pPr>
            <w:r w:rsidRPr="00426A6F">
              <w:rPr>
                <w:rFonts w:eastAsia="Times New Roman" w:cs="Times New Roman"/>
                <w:b/>
                <w:bCs/>
                <w:color w:val="000000"/>
              </w:rPr>
              <w:t>2030</w:t>
            </w:r>
          </w:p>
        </w:tc>
        <w:tc>
          <w:tcPr>
            <w:tcW w:w="1400" w:type="dxa"/>
            <w:tcBorders>
              <w:top w:val="single" w:sz="4" w:space="0" w:color="auto"/>
              <w:left w:val="single" w:sz="4" w:space="0" w:color="auto"/>
              <w:bottom w:val="single" w:sz="8" w:space="0" w:color="auto"/>
              <w:right w:val="nil"/>
            </w:tcBorders>
            <w:shd w:val="clear" w:color="9999FF" w:fill="D9D9D9"/>
            <w:noWrap/>
            <w:vAlign w:val="bottom"/>
            <w:hideMark/>
          </w:tcPr>
          <w:p w14:paraId="42E4BC1F" w14:textId="77777777" w:rsidR="00426A6F" w:rsidRPr="00426A6F" w:rsidRDefault="00426A6F" w:rsidP="00426A6F">
            <w:pPr>
              <w:keepNext/>
              <w:keepLines/>
              <w:spacing w:after="0" w:line="240" w:lineRule="auto"/>
              <w:jc w:val="center"/>
              <w:rPr>
                <w:rFonts w:eastAsia="Times New Roman" w:cs="Times New Roman"/>
                <w:b/>
                <w:bCs/>
                <w:color w:val="000000"/>
              </w:rPr>
            </w:pPr>
            <w:r w:rsidRPr="00426A6F">
              <w:rPr>
                <w:rFonts w:eastAsia="Times New Roman" w:cs="Times New Roman"/>
                <w:b/>
                <w:bCs/>
                <w:color w:val="000000"/>
              </w:rPr>
              <w:t>2040</w:t>
            </w:r>
          </w:p>
        </w:tc>
        <w:tc>
          <w:tcPr>
            <w:tcW w:w="1400" w:type="dxa"/>
            <w:tcBorders>
              <w:top w:val="single" w:sz="4" w:space="0" w:color="auto"/>
              <w:left w:val="single" w:sz="4" w:space="0" w:color="auto"/>
              <w:bottom w:val="single" w:sz="8" w:space="0" w:color="auto"/>
              <w:right w:val="single" w:sz="4" w:space="0" w:color="auto"/>
            </w:tcBorders>
            <w:shd w:val="clear" w:color="9999FF" w:fill="D9D9D9"/>
            <w:noWrap/>
            <w:vAlign w:val="bottom"/>
            <w:hideMark/>
          </w:tcPr>
          <w:p w14:paraId="5C11BCA3" w14:textId="77777777" w:rsidR="00426A6F" w:rsidRPr="00426A6F" w:rsidRDefault="00426A6F" w:rsidP="00426A6F">
            <w:pPr>
              <w:keepNext/>
              <w:keepLines/>
              <w:spacing w:after="0" w:line="240" w:lineRule="auto"/>
              <w:jc w:val="center"/>
              <w:rPr>
                <w:rFonts w:eastAsia="Times New Roman" w:cs="Times New Roman"/>
                <w:b/>
                <w:bCs/>
                <w:color w:val="000000"/>
              </w:rPr>
            </w:pPr>
            <w:r w:rsidRPr="00426A6F">
              <w:rPr>
                <w:rFonts w:eastAsia="Times New Roman" w:cs="Times New Roman"/>
                <w:b/>
                <w:bCs/>
                <w:color w:val="000000"/>
              </w:rPr>
              <w:t>2050</w:t>
            </w:r>
          </w:p>
        </w:tc>
      </w:tr>
      <w:tr w:rsidR="00426A6F" w:rsidRPr="00426A6F" w14:paraId="3C9A30CC" w14:textId="77777777" w:rsidTr="00DF20A2">
        <w:trPr>
          <w:trHeight w:val="276"/>
        </w:trPr>
        <w:tc>
          <w:tcPr>
            <w:tcW w:w="1400" w:type="dxa"/>
            <w:tcBorders>
              <w:top w:val="nil"/>
              <w:left w:val="single" w:sz="4" w:space="0" w:color="auto"/>
              <w:bottom w:val="nil"/>
              <w:right w:val="nil"/>
            </w:tcBorders>
            <w:shd w:val="pct75" w:color="FFFFFF" w:fill="FFFFFF"/>
            <w:noWrap/>
            <w:vAlign w:val="bottom"/>
            <w:hideMark/>
          </w:tcPr>
          <w:p w14:paraId="2A0F6164"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45</w:t>
            </w:r>
          </w:p>
        </w:tc>
        <w:tc>
          <w:tcPr>
            <w:tcW w:w="1400" w:type="dxa"/>
            <w:tcBorders>
              <w:top w:val="nil"/>
              <w:left w:val="single" w:sz="4" w:space="0" w:color="auto"/>
              <w:bottom w:val="nil"/>
              <w:right w:val="nil"/>
            </w:tcBorders>
            <w:shd w:val="pct75" w:color="FFFFFF" w:fill="FFFFFF"/>
            <w:noWrap/>
            <w:vAlign w:val="bottom"/>
            <w:hideMark/>
          </w:tcPr>
          <w:p w14:paraId="2B180BFA"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45%</w:t>
            </w:r>
          </w:p>
        </w:tc>
        <w:tc>
          <w:tcPr>
            <w:tcW w:w="1400" w:type="dxa"/>
            <w:tcBorders>
              <w:top w:val="nil"/>
              <w:left w:val="single" w:sz="4" w:space="0" w:color="auto"/>
              <w:bottom w:val="nil"/>
              <w:right w:val="nil"/>
            </w:tcBorders>
            <w:shd w:val="pct75" w:color="FFFFFF" w:fill="FFFFFF"/>
            <w:noWrap/>
            <w:vAlign w:val="bottom"/>
            <w:hideMark/>
          </w:tcPr>
          <w:p w14:paraId="549036B5"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44%</w:t>
            </w:r>
          </w:p>
        </w:tc>
        <w:tc>
          <w:tcPr>
            <w:tcW w:w="1400" w:type="dxa"/>
            <w:tcBorders>
              <w:top w:val="nil"/>
              <w:left w:val="single" w:sz="4" w:space="0" w:color="auto"/>
              <w:bottom w:val="nil"/>
              <w:right w:val="nil"/>
            </w:tcBorders>
            <w:shd w:val="pct75" w:color="FFFFFF" w:fill="FFFFFF"/>
            <w:noWrap/>
            <w:vAlign w:val="bottom"/>
            <w:hideMark/>
          </w:tcPr>
          <w:p w14:paraId="3B8FA322"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43%</w:t>
            </w:r>
          </w:p>
        </w:tc>
        <w:tc>
          <w:tcPr>
            <w:tcW w:w="1400" w:type="dxa"/>
            <w:tcBorders>
              <w:top w:val="nil"/>
              <w:left w:val="single" w:sz="4" w:space="0" w:color="auto"/>
              <w:bottom w:val="nil"/>
              <w:right w:val="nil"/>
            </w:tcBorders>
            <w:shd w:val="pct75" w:color="FFFFFF" w:fill="FFFFFF"/>
            <w:noWrap/>
            <w:vAlign w:val="bottom"/>
            <w:hideMark/>
          </w:tcPr>
          <w:p w14:paraId="10721FFA"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42%</w:t>
            </w:r>
          </w:p>
        </w:tc>
        <w:tc>
          <w:tcPr>
            <w:tcW w:w="1400" w:type="dxa"/>
            <w:tcBorders>
              <w:top w:val="nil"/>
              <w:left w:val="single" w:sz="4" w:space="0" w:color="auto"/>
              <w:bottom w:val="nil"/>
              <w:right w:val="single" w:sz="4" w:space="0" w:color="auto"/>
            </w:tcBorders>
            <w:shd w:val="pct75" w:color="FFFFFF" w:fill="FFFFFF"/>
            <w:noWrap/>
            <w:vAlign w:val="bottom"/>
            <w:hideMark/>
          </w:tcPr>
          <w:p w14:paraId="05417E62"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42%</w:t>
            </w:r>
          </w:p>
        </w:tc>
      </w:tr>
      <w:tr w:rsidR="00426A6F" w:rsidRPr="00426A6F" w14:paraId="4B157960" w14:textId="77777777" w:rsidTr="00DF20A2">
        <w:trPr>
          <w:trHeight w:val="276"/>
        </w:trPr>
        <w:tc>
          <w:tcPr>
            <w:tcW w:w="1400" w:type="dxa"/>
            <w:tcBorders>
              <w:top w:val="nil"/>
              <w:left w:val="single" w:sz="4" w:space="0" w:color="auto"/>
              <w:bottom w:val="nil"/>
              <w:right w:val="nil"/>
            </w:tcBorders>
            <w:shd w:val="pct75" w:color="FFFFFF" w:fill="FFFFFF"/>
            <w:noWrap/>
            <w:vAlign w:val="bottom"/>
            <w:hideMark/>
          </w:tcPr>
          <w:p w14:paraId="024EC89F"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46</w:t>
            </w:r>
          </w:p>
        </w:tc>
        <w:tc>
          <w:tcPr>
            <w:tcW w:w="1400" w:type="dxa"/>
            <w:tcBorders>
              <w:top w:val="nil"/>
              <w:left w:val="single" w:sz="4" w:space="0" w:color="auto"/>
              <w:bottom w:val="nil"/>
              <w:right w:val="nil"/>
            </w:tcBorders>
            <w:shd w:val="pct75" w:color="FFFFFF" w:fill="FFFFFF"/>
            <w:noWrap/>
            <w:vAlign w:val="bottom"/>
            <w:hideMark/>
          </w:tcPr>
          <w:p w14:paraId="23732C51"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43%</w:t>
            </w:r>
          </w:p>
        </w:tc>
        <w:tc>
          <w:tcPr>
            <w:tcW w:w="1400" w:type="dxa"/>
            <w:tcBorders>
              <w:top w:val="nil"/>
              <w:left w:val="single" w:sz="4" w:space="0" w:color="auto"/>
              <w:bottom w:val="nil"/>
              <w:right w:val="nil"/>
            </w:tcBorders>
            <w:shd w:val="pct75" w:color="FFFFFF" w:fill="FFFFFF"/>
            <w:noWrap/>
            <w:vAlign w:val="bottom"/>
            <w:hideMark/>
          </w:tcPr>
          <w:p w14:paraId="1477EDE2"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42%</w:t>
            </w:r>
          </w:p>
        </w:tc>
        <w:tc>
          <w:tcPr>
            <w:tcW w:w="1400" w:type="dxa"/>
            <w:tcBorders>
              <w:top w:val="nil"/>
              <w:left w:val="single" w:sz="4" w:space="0" w:color="auto"/>
              <w:bottom w:val="nil"/>
              <w:right w:val="nil"/>
            </w:tcBorders>
            <w:shd w:val="pct75" w:color="FFFFFF" w:fill="FFFFFF"/>
            <w:noWrap/>
            <w:vAlign w:val="bottom"/>
            <w:hideMark/>
          </w:tcPr>
          <w:p w14:paraId="57EDA209"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41%</w:t>
            </w:r>
          </w:p>
        </w:tc>
        <w:tc>
          <w:tcPr>
            <w:tcW w:w="1400" w:type="dxa"/>
            <w:tcBorders>
              <w:top w:val="nil"/>
              <w:left w:val="single" w:sz="4" w:space="0" w:color="auto"/>
              <w:bottom w:val="nil"/>
              <w:right w:val="nil"/>
            </w:tcBorders>
            <w:shd w:val="pct75" w:color="FFFFFF" w:fill="FFFFFF"/>
            <w:noWrap/>
            <w:vAlign w:val="bottom"/>
            <w:hideMark/>
          </w:tcPr>
          <w:p w14:paraId="526E102E"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41%</w:t>
            </w:r>
          </w:p>
        </w:tc>
        <w:tc>
          <w:tcPr>
            <w:tcW w:w="1400" w:type="dxa"/>
            <w:tcBorders>
              <w:top w:val="nil"/>
              <w:left w:val="single" w:sz="4" w:space="0" w:color="auto"/>
              <w:bottom w:val="nil"/>
              <w:right w:val="single" w:sz="4" w:space="0" w:color="auto"/>
            </w:tcBorders>
            <w:shd w:val="pct75" w:color="FFFFFF" w:fill="FFFFFF"/>
            <w:noWrap/>
            <w:vAlign w:val="bottom"/>
            <w:hideMark/>
          </w:tcPr>
          <w:p w14:paraId="636F978A"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40%</w:t>
            </w:r>
          </w:p>
        </w:tc>
      </w:tr>
      <w:tr w:rsidR="00426A6F" w:rsidRPr="00426A6F" w14:paraId="250DFAB6" w14:textId="77777777" w:rsidTr="00DF20A2">
        <w:trPr>
          <w:trHeight w:val="276"/>
        </w:trPr>
        <w:tc>
          <w:tcPr>
            <w:tcW w:w="1400" w:type="dxa"/>
            <w:tcBorders>
              <w:top w:val="nil"/>
              <w:left w:val="single" w:sz="4" w:space="0" w:color="auto"/>
              <w:bottom w:val="nil"/>
              <w:right w:val="nil"/>
            </w:tcBorders>
            <w:shd w:val="pct75" w:color="FFFFFF" w:fill="FFFFFF"/>
            <w:noWrap/>
            <w:vAlign w:val="bottom"/>
            <w:hideMark/>
          </w:tcPr>
          <w:p w14:paraId="11DE3577"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47</w:t>
            </w:r>
          </w:p>
        </w:tc>
        <w:tc>
          <w:tcPr>
            <w:tcW w:w="1400" w:type="dxa"/>
            <w:tcBorders>
              <w:top w:val="nil"/>
              <w:left w:val="single" w:sz="4" w:space="0" w:color="auto"/>
              <w:bottom w:val="nil"/>
              <w:right w:val="nil"/>
            </w:tcBorders>
            <w:shd w:val="pct75" w:color="FFFFFF" w:fill="FFFFFF"/>
            <w:noWrap/>
            <w:vAlign w:val="bottom"/>
            <w:hideMark/>
          </w:tcPr>
          <w:p w14:paraId="14B5C4B0"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41%</w:t>
            </w:r>
          </w:p>
        </w:tc>
        <w:tc>
          <w:tcPr>
            <w:tcW w:w="1400" w:type="dxa"/>
            <w:tcBorders>
              <w:top w:val="nil"/>
              <w:left w:val="single" w:sz="4" w:space="0" w:color="auto"/>
              <w:bottom w:val="nil"/>
              <w:right w:val="nil"/>
            </w:tcBorders>
            <w:shd w:val="pct75" w:color="FFFFFF" w:fill="FFFFFF"/>
            <w:noWrap/>
            <w:vAlign w:val="bottom"/>
            <w:hideMark/>
          </w:tcPr>
          <w:p w14:paraId="1C475F18"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40%</w:t>
            </w:r>
          </w:p>
        </w:tc>
        <w:tc>
          <w:tcPr>
            <w:tcW w:w="1400" w:type="dxa"/>
            <w:tcBorders>
              <w:top w:val="nil"/>
              <w:left w:val="single" w:sz="4" w:space="0" w:color="auto"/>
              <w:bottom w:val="nil"/>
              <w:right w:val="nil"/>
            </w:tcBorders>
            <w:shd w:val="pct75" w:color="FFFFFF" w:fill="FFFFFF"/>
            <w:noWrap/>
            <w:vAlign w:val="bottom"/>
            <w:hideMark/>
          </w:tcPr>
          <w:p w14:paraId="7917D64F"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39%</w:t>
            </w:r>
          </w:p>
        </w:tc>
        <w:tc>
          <w:tcPr>
            <w:tcW w:w="1400" w:type="dxa"/>
            <w:tcBorders>
              <w:top w:val="nil"/>
              <w:left w:val="single" w:sz="4" w:space="0" w:color="auto"/>
              <w:bottom w:val="nil"/>
              <w:right w:val="nil"/>
            </w:tcBorders>
            <w:shd w:val="pct75" w:color="FFFFFF" w:fill="FFFFFF"/>
            <w:noWrap/>
            <w:vAlign w:val="bottom"/>
            <w:hideMark/>
          </w:tcPr>
          <w:p w14:paraId="2285968D"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39%</w:t>
            </w:r>
          </w:p>
        </w:tc>
        <w:tc>
          <w:tcPr>
            <w:tcW w:w="1400" w:type="dxa"/>
            <w:tcBorders>
              <w:top w:val="nil"/>
              <w:left w:val="single" w:sz="4" w:space="0" w:color="auto"/>
              <w:bottom w:val="nil"/>
              <w:right w:val="single" w:sz="4" w:space="0" w:color="auto"/>
            </w:tcBorders>
            <w:shd w:val="pct75" w:color="FFFFFF" w:fill="FFFFFF"/>
            <w:noWrap/>
            <w:vAlign w:val="bottom"/>
            <w:hideMark/>
          </w:tcPr>
          <w:p w14:paraId="79ED70D1"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38%</w:t>
            </w:r>
          </w:p>
        </w:tc>
      </w:tr>
      <w:tr w:rsidR="00426A6F" w:rsidRPr="00426A6F" w14:paraId="092EA9BB" w14:textId="77777777" w:rsidTr="00DF20A2">
        <w:trPr>
          <w:trHeight w:val="276"/>
        </w:trPr>
        <w:tc>
          <w:tcPr>
            <w:tcW w:w="1400" w:type="dxa"/>
            <w:tcBorders>
              <w:top w:val="nil"/>
              <w:left w:val="single" w:sz="4" w:space="0" w:color="auto"/>
              <w:bottom w:val="nil"/>
              <w:right w:val="nil"/>
            </w:tcBorders>
            <w:shd w:val="pct75" w:color="FFFFFF" w:fill="FFFFFF"/>
            <w:noWrap/>
            <w:vAlign w:val="bottom"/>
            <w:hideMark/>
          </w:tcPr>
          <w:p w14:paraId="2457EA77"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48</w:t>
            </w:r>
          </w:p>
        </w:tc>
        <w:tc>
          <w:tcPr>
            <w:tcW w:w="1400" w:type="dxa"/>
            <w:tcBorders>
              <w:top w:val="nil"/>
              <w:left w:val="single" w:sz="4" w:space="0" w:color="auto"/>
              <w:bottom w:val="nil"/>
              <w:right w:val="nil"/>
            </w:tcBorders>
            <w:shd w:val="pct75" w:color="FFFFFF" w:fill="FFFFFF"/>
            <w:noWrap/>
            <w:vAlign w:val="bottom"/>
            <w:hideMark/>
          </w:tcPr>
          <w:p w14:paraId="5BCAA29B"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39%</w:t>
            </w:r>
          </w:p>
        </w:tc>
        <w:tc>
          <w:tcPr>
            <w:tcW w:w="1400" w:type="dxa"/>
            <w:tcBorders>
              <w:top w:val="nil"/>
              <w:left w:val="single" w:sz="4" w:space="0" w:color="auto"/>
              <w:bottom w:val="nil"/>
              <w:right w:val="nil"/>
            </w:tcBorders>
            <w:shd w:val="pct75" w:color="FFFFFF" w:fill="FFFFFF"/>
            <w:noWrap/>
            <w:vAlign w:val="bottom"/>
            <w:hideMark/>
          </w:tcPr>
          <w:p w14:paraId="07CD0A2D"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39%</w:t>
            </w:r>
          </w:p>
        </w:tc>
        <w:tc>
          <w:tcPr>
            <w:tcW w:w="1400" w:type="dxa"/>
            <w:tcBorders>
              <w:top w:val="nil"/>
              <w:left w:val="single" w:sz="4" w:space="0" w:color="auto"/>
              <w:bottom w:val="nil"/>
              <w:right w:val="nil"/>
            </w:tcBorders>
            <w:shd w:val="pct75" w:color="FFFFFF" w:fill="FFFFFF"/>
            <w:noWrap/>
            <w:vAlign w:val="bottom"/>
            <w:hideMark/>
          </w:tcPr>
          <w:p w14:paraId="600C091B"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38%</w:t>
            </w:r>
          </w:p>
        </w:tc>
        <w:tc>
          <w:tcPr>
            <w:tcW w:w="1400" w:type="dxa"/>
            <w:tcBorders>
              <w:top w:val="nil"/>
              <w:left w:val="single" w:sz="4" w:space="0" w:color="auto"/>
              <w:bottom w:val="nil"/>
              <w:right w:val="nil"/>
            </w:tcBorders>
            <w:shd w:val="pct75" w:color="FFFFFF" w:fill="FFFFFF"/>
            <w:noWrap/>
            <w:vAlign w:val="bottom"/>
            <w:hideMark/>
          </w:tcPr>
          <w:p w14:paraId="48C649D1"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37%</w:t>
            </w:r>
          </w:p>
        </w:tc>
        <w:tc>
          <w:tcPr>
            <w:tcW w:w="1400" w:type="dxa"/>
            <w:tcBorders>
              <w:top w:val="nil"/>
              <w:left w:val="single" w:sz="4" w:space="0" w:color="auto"/>
              <w:bottom w:val="nil"/>
              <w:right w:val="single" w:sz="4" w:space="0" w:color="auto"/>
            </w:tcBorders>
            <w:shd w:val="pct75" w:color="FFFFFF" w:fill="FFFFFF"/>
            <w:noWrap/>
            <w:vAlign w:val="bottom"/>
            <w:hideMark/>
          </w:tcPr>
          <w:p w14:paraId="7A0ABE2C"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36%</w:t>
            </w:r>
          </w:p>
        </w:tc>
      </w:tr>
      <w:tr w:rsidR="00426A6F" w:rsidRPr="00426A6F" w14:paraId="44A39170" w14:textId="77777777" w:rsidTr="00DF20A2">
        <w:trPr>
          <w:trHeight w:val="276"/>
        </w:trPr>
        <w:tc>
          <w:tcPr>
            <w:tcW w:w="1400" w:type="dxa"/>
            <w:tcBorders>
              <w:top w:val="nil"/>
              <w:left w:val="single" w:sz="4" w:space="0" w:color="auto"/>
              <w:bottom w:val="nil"/>
              <w:right w:val="nil"/>
            </w:tcBorders>
            <w:shd w:val="pct75" w:color="FFFFFF" w:fill="FFFFFF"/>
            <w:noWrap/>
            <w:vAlign w:val="bottom"/>
            <w:hideMark/>
          </w:tcPr>
          <w:p w14:paraId="5E321544"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49</w:t>
            </w:r>
          </w:p>
        </w:tc>
        <w:tc>
          <w:tcPr>
            <w:tcW w:w="1400" w:type="dxa"/>
            <w:tcBorders>
              <w:top w:val="nil"/>
              <w:left w:val="single" w:sz="4" w:space="0" w:color="auto"/>
              <w:bottom w:val="nil"/>
              <w:right w:val="nil"/>
            </w:tcBorders>
            <w:shd w:val="pct75" w:color="FFFFFF" w:fill="FFFFFF"/>
            <w:noWrap/>
            <w:vAlign w:val="bottom"/>
            <w:hideMark/>
          </w:tcPr>
          <w:p w14:paraId="4266C398"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37%</w:t>
            </w:r>
          </w:p>
        </w:tc>
        <w:tc>
          <w:tcPr>
            <w:tcW w:w="1400" w:type="dxa"/>
            <w:tcBorders>
              <w:top w:val="nil"/>
              <w:left w:val="single" w:sz="4" w:space="0" w:color="auto"/>
              <w:bottom w:val="nil"/>
              <w:right w:val="nil"/>
            </w:tcBorders>
            <w:shd w:val="pct75" w:color="FFFFFF" w:fill="FFFFFF"/>
            <w:noWrap/>
            <w:vAlign w:val="bottom"/>
            <w:hideMark/>
          </w:tcPr>
          <w:p w14:paraId="7B6A7BA7"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36%</w:t>
            </w:r>
          </w:p>
        </w:tc>
        <w:tc>
          <w:tcPr>
            <w:tcW w:w="1400" w:type="dxa"/>
            <w:tcBorders>
              <w:top w:val="nil"/>
              <w:left w:val="single" w:sz="4" w:space="0" w:color="auto"/>
              <w:bottom w:val="nil"/>
              <w:right w:val="nil"/>
            </w:tcBorders>
            <w:shd w:val="pct75" w:color="FFFFFF" w:fill="FFFFFF"/>
            <w:noWrap/>
            <w:vAlign w:val="bottom"/>
            <w:hideMark/>
          </w:tcPr>
          <w:p w14:paraId="3F16A2EA"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35%</w:t>
            </w:r>
          </w:p>
        </w:tc>
        <w:tc>
          <w:tcPr>
            <w:tcW w:w="1400" w:type="dxa"/>
            <w:tcBorders>
              <w:top w:val="nil"/>
              <w:left w:val="single" w:sz="4" w:space="0" w:color="auto"/>
              <w:bottom w:val="nil"/>
              <w:right w:val="nil"/>
            </w:tcBorders>
            <w:shd w:val="pct75" w:color="FFFFFF" w:fill="FFFFFF"/>
            <w:noWrap/>
            <w:vAlign w:val="bottom"/>
            <w:hideMark/>
          </w:tcPr>
          <w:p w14:paraId="6274BE8D"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35%</w:t>
            </w:r>
          </w:p>
        </w:tc>
        <w:tc>
          <w:tcPr>
            <w:tcW w:w="1400" w:type="dxa"/>
            <w:tcBorders>
              <w:top w:val="nil"/>
              <w:left w:val="single" w:sz="4" w:space="0" w:color="auto"/>
              <w:bottom w:val="nil"/>
              <w:right w:val="single" w:sz="4" w:space="0" w:color="auto"/>
            </w:tcBorders>
            <w:shd w:val="pct75" w:color="FFFFFF" w:fill="FFFFFF"/>
            <w:noWrap/>
            <w:vAlign w:val="bottom"/>
            <w:hideMark/>
          </w:tcPr>
          <w:p w14:paraId="33BF155E"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34%</w:t>
            </w:r>
          </w:p>
        </w:tc>
      </w:tr>
      <w:tr w:rsidR="00426A6F" w:rsidRPr="00426A6F" w14:paraId="3AF732B4" w14:textId="77777777" w:rsidTr="00DF20A2">
        <w:trPr>
          <w:trHeight w:val="276"/>
        </w:trPr>
        <w:tc>
          <w:tcPr>
            <w:tcW w:w="1400" w:type="dxa"/>
            <w:tcBorders>
              <w:top w:val="nil"/>
              <w:left w:val="single" w:sz="4" w:space="0" w:color="auto"/>
              <w:bottom w:val="nil"/>
              <w:right w:val="nil"/>
            </w:tcBorders>
            <w:shd w:val="pct75" w:color="FFFFFF" w:fill="FFFFFF"/>
            <w:noWrap/>
            <w:vAlign w:val="bottom"/>
            <w:hideMark/>
          </w:tcPr>
          <w:p w14:paraId="520F4ACE"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50</w:t>
            </w:r>
          </w:p>
        </w:tc>
        <w:tc>
          <w:tcPr>
            <w:tcW w:w="1400" w:type="dxa"/>
            <w:tcBorders>
              <w:top w:val="nil"/>
              <w:left w:val="single" w:sz="4" w:space="0" w:color="auto"/>
              <w:bottom w:val="nil"/>
              <w:right w:val="nil"/>
            </w:tcBorders>
            <w:shd w:val="pct75" w:color="FFFFFF" w:fill="FFFFFF"/>
            <w:noWrap/>
            <w:vAlign w:val="bottom"/>
            <w:hideMark/>
          </w:tcPr>
          <w:p w14:paraId="2FB5A7DD"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35%</w:t>
            </w:r>
          </w:p>
        </w:tc>
        <w:tc>
          <w:tcPr>
            <w:tcW w:w="1400" w:type="dxa"/>
            <w:tcBorders>
              <w:top w:val="nil"/>
              <w:left w:val="single" w:sz="4" w:space="0" w:color="auto"/>
              <w:bottom w:val="nil"/>
              <w:right w:val="nil"/>
            </w:tcBorders>
            <w:shd w:val="pct75" w:color="FFFFFF" w:fill="FFFFFF"/>
            <w:noWrap/>
            <w:vAlign w:val="bottom"/>
            <w:hideMark/>
          </w:tcPr>
          <w:p w14:paraId="66F599C2"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34%</w:t>
            </w:r>
          </w:p>
        </w:tc>
        <w:tc>
          <w:tcPr>
            <w:tcW w:w="1400" w:type="dxa"/>
            <w:tcBorders>
              <w:top w:val="nil"/>
              <w:left w:val="single" w:sz="4" w:space="0" w:color="auto"/>
              <w:bottom w:val="nil"/>
              <w:right w:val="nil"/>
            </w:tcBorders>
            <w:shd w:val="pct75" w:color="FFFFFF" w:fill="FFFFFF"/>
            <w:noWrap/>
            <w:vAlign w:val="bottom"/>
            <w:hideMark/>
          </w:tcPr>
          <w:p w14:paraId="77188476"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33%</w:t>
            </w:r>
          </w:p>
        </w:tc>
        <w:tc>
          <w:tcPr>
            <w:tcW w:w="1400" w:type="dxa"/>
            <w:tcBorders>
              <w:top w:val="nil"/>
              <w:left w:val="single" w:sz="4" w:space="0" w:color="auto"/>
              <w:bottom w:val="nil"/>
              <w:right w:val="nil"/>
            </w:tcBorders>
            <w:shd w:val="pct75" w:color="FFFFFF" w:fill="FFFFFF"/>
            <w:noWrap/>
            <w:vAlign w:val="bottom"/>
            <w:hideMark/>
          </w:tcPr>
          <w:p w14:paraId="029E8CAC"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32%</w:t>
            </w:r>
          </w:p>
        </w:tc>
        <w:tc>
          <w:tcPr>
            <w:tcW w:w="1400" w:type="dxa"/>
            <w:tcBorders>
              <w:top w:val="nil"/>
              <w:left w:val="single" w:sz="4" w:space="0" w:color="auto"/>
              <w:bottom w:val="nil"/>
              <w:right w:val="single" w:sz="4" w:space="0" w:color="auto"/>
            </w:tcBorders>
            <w:shd w:val="pct75" w:color="FFFFFF" w:fill="FFFFFF"/>
            <w:noWrap/>
            <w:vAlign w:val="bottom"/>
            <w:hideMark/>
          </w:tcPr>
          <w:p w14:paraId="178741E2"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32%</w:t>
            </w:r>
          </w:p>
        </w:tc>
      </w:tr>
      <w:tr w:rsidR="00426A6F" w:rsidRPr="00426A6F" w14:paraId="366FE224" w14:textId="77777777" w:rsidTr="00DF20A2">
        <w:trPr>
          <w:trHeight w:val="276"/>
        </w:trPr>
        <w:tc>
          <w:tcPr>
            <w:tcW w:w="1400" w:type="dxa"/>
            <w:tcBorders>
              <w:top w:val="nil"/>
              <w:left w:val="single" w:sz="4" w:space="0" w:color="auto"/>
              <w:bottom w:val="nil"/>
              <w:right w:val="nil"/>
            </w:tcBorders>
            <w:shd w:val="pct75" w:color="FFFFFF" w:fill="FFFFFF"/>
            <w:noWrap/>
            <w:vAlign w:val="bottom"/>
            <w:hideMark/>
          </w:tcPr>
          <w:p w14:paraId="3860E554"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51</w:t>
            </w:r>
          </w:p>
        </w:tc>
        <w:tc>
          <w:tcPr>
            <w:tcW w:w="1400" w:type="dxa"/>
            <w:tcBorders>
              <w:top w:val="nil"/>
              <w:left w:val="single" w:sz="4" w:space="0" w:color="auto"/>
              <w:bottom w:val="nil"/>
              <w:right w:val="nil"/>
            </w:tcBorders>
            <w:shd w:val="pct75" w:color="FFFFFF" w:fill="FFFFFF"/>
            <w:noWrap/>
            <w:vAlign w:val="bottom"/>
            <w:hideMark/>
          </w:tcPr>
          <w:p w14:paraId="784A9B5B"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32%</w:t>
            </w:r>
          </w:p>
        </w:tc>
        <w:tc>
          <w:tcPr>
            <w:tcW w:w="1400" w:type="dxa"/>
            <w:tcBorders>
              <w:top w:val="nil"/>
              <w:left w:val="single" w:sz="4" w:space="0" w:color="auto"/>
              <w:bottom w:val="nil"/>
              <w:right w:val="nil"/>
            </w:tcBorders>
            <w:shd w:val="pct75" w:color="FFFFFF" w:fill="FFFFFF"/>
            <w:noWrap/>
            <w:vAlign w:val="bottom"/>
            <w:hideMark/>
          </w:tcPr>
          <w:p w14:paraId="6136FC13"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32%</w:t>
            </w:r>
          </w:p>
        </w:tc>
        <w:tc>
          <w:tcPr>
            <w:tcW w:w="1400" w:type="dxa"/>
            <w:tcBorders>
              <w:top w:val="nil"/>
              <w:left w:val="single" w:sz="4" w:space="0" w:color="auto"/>
              <w:bottom w:val="nil"/>
              <w:right w:val="nil"/>
            </w:tcBorders>
            <w:shd w:val="pct75" w:color="FFFFFF" w:fill="FFFFFF"/>
            <w:noWrap/>
            <w:vAlign w:val="bottom"/>
            <w:hideMark/>
          </w:tcPr>
          <w:p w14:paraId="15715539"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31%</w:t>
            </w:r>
          </w:p>
        </w:tc>
        <w:tc>
          <w:tcPr>
            <w:tcW w:w="1400" w:type="dxa"/>
            <w:tcBorders>
              <w:top w:val="nil"/>
              <w:left w:val="single" w:sz="4" w:space="0" w:color="auto"/>
              <w:bottom w:val="nil"/>
              <w:right w:val="nil"/>
            </w:tcBorders>
            <w:shd w:val="pct75" w:color="FFFFFF" w:fill="FFFFFF"/>
            <w:noWrap/>
            <w:vAlign w:val="bottom"/>
            <w:hideMark/>
          </w:tcPr>
          <w:p w14:paraId="37DF29E6"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30%</w:t>
            </w:r>
          </w:p>
        </w:tc>
        <w:tc>
          <w:tcPr>
            <w:tcW w:w="1400" w:type="dxa"/>
            <w:tcBorders>
              <w:top w:val="nil"/>
              <w:left w:val="single" w:sz="4" w:space="0" w:color="auto"/>
              <w:bottom w:val="nil"/>
              <w:right w:val="single" w:sz="4" w:space="0" w:color="auto"/>
            </w:tcBorders>
            <w:shd w:val="pct75" w:color="FFFFFF" w:fill="FFFFFF"/>
            <w:noWrap/>
            <w:vAlign w:val="bottom"/>
            <w:hideMark/>
          </w:tcPr>
          <w:p w14:paraId="07572D42"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30%</w:t>
            </w:r>
          </w:p>
        </w:tc>
      </w:tr>
      <w:tr w:rsidR="00426A6F" w:rsidRPr="00426A6F" w14:paraId="36E25D59" w14:textId="77777777" w:rsidTr="00DF20A2">
        <w:trPr>
          <w:trHeight w:val="276"/>
        </w:trPr>
        <w:tc>
          <w:tcPr>
            <w:tcW w:w="1400" w:type="dxa"/>
            <w:tcBorders>
              <w:top w:val="nil"/>
              <w:left w:val="single" w:sz="4" w:space="0" w:color="auto"/>
              <w:bottom w:val="nil"/>
              <w:right w:val="nil"/>
            </w:tcBorders>
            <w:shd w:val="pct75" w:color="FFFFFF" w:fill="FFFFFF"/>
            <w:noWrap/>
            <w:vAlign w:val="bottom"/>
            <w:hideMark/>
          </w:tcPr>
          <w:p w14:paraId="7D435C83"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52</w:t>
            </w:r>
          </w:p>
        </w:tc>
        <w:tc>
          <w:tcPr>
            <w:tcW w:w="1400" w:type="dxa"/>
            <w:tcBorders>
              <w:top w:val="nil"/>
              <w:left w:val="single" w:sz="4" w:space="0" w:color="auto"/>
              <w:bottom w:val="nil"/>
              <w:right w:val="nil"/>
            </w:tcBorders>
            <w:shd w:val="pct75" w:color="FFFFFF" w:fill="FFFFFF"/>
            <w:noWrap/>
            <w:vAlign w:val="bottom"/>
            <w:hideMark/>
          </w:tcPr>
          <w:p w14:paraId="1C40FAD6"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30%</w:t>
            </w:r>
          </w:p>
        </w:tc>
        <w:tc>
          <w:tcPr>
            <w:tcW w:w="1400" w:type="dxa"/>
            <w:tcBorders>
              <w:top w:val="nil"/>
              <w:left w:val="single" w:sz="4" w:space="0" w:color="auto"/>
              <w:bottom w:val="nil"/>
              <w:right w:val="nil"/>
            </w:tcBorders>
            <w:shd w:val="pct75" w:color="FFFFFF" w:fill="FFFFFF"/>
            <w:noWrap/>
            <w:vAlign w:val="bottom"/>
            <w:hideMark/>
          </w:tcPr>
          <w:p w14:paraId="03E3B74B"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29%</w:t>
            </w:r>
          </w:p>
        </w:tc>
        <w:tc>
          <w:tcPr>
            <w:tcW w:w="1400" w:type="dxa"/>
            <w:tcBorders>
              <w:top w:val="nil"/>
              <w:left w:val="single" w:sz="4" w:space="0" w:color="auto"/>
              <w:bottom w:val="nil"/>
              <w:right w:val="nil"/>
            </w:tcBorders>
            <w:shd w:val="pct75" w:color="FFFFFF" w:fill="FFFFFF"/>
            <w:noWrap/>
            <w:vAlign w:val="bottom"/>
            <w:hideMark/>
          </w:tcPr>
          <w:p w14:paraId="51FB59AA"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28%</w:t>
            </w:r>
          </w:p>
        </w:tc>
        <w:tc>
          <w:tcPr>
            <w:tcW w:w="1400" w:type="dxa"/>
            <w:tcBorders>
              <w:top w:val="nil"/>
              <w:left w:val="single" w:sz="4" w:space="0" w:color="auto"/>
              <w:bottom w:val="nil"/>
              <w:right w:val="nil"/>
            </w:tcBorders>
            <w:shd w:val="pct75" w:color="FFFFFF" w:fill="FFFFFF"/>
            <w:noWrap/>
            <w:vAlign w:val="bottom"/>
            <w:hideMark/>
          </w:tcPr>
          <w:p w14:paraId="32ABA90C"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28%</w:t>
            </w:r>
          </w:p>
        </w:tc>
        <w:tc>
          <w:tcPr>
            <w:tcW w:w="1400" w:type="dxa"/>
            <w:tcBorders>
              <w:top w:val="nil"/>
              <w:left w:val="single" w:sz="4" w:space="0" w:color="auto"/>
              <w:bottom w:val="nil"/>
              <w:right w:val="single" w:sz="4" w:space="0" w:color="auto"/>
            </w:tcBorders>
            <w:shd w:val="pct75" w:color="FFFFFF" w:fill="FFFFFF"/>
            <w:noWrap/>
            <w:vAlign w:val="bottom"/>
            <w:hideMark/>
          </w:tcPr>
          <w:p w14:paraId="7E810679"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27%</w:t>
            </w:r>
          </w:p>
        </w:tc>
      </w:tr>
      <w:tr w:rsidR="00426A6F" w:rsidRPr="00426A6F" w14:paraId="6FE56617" w14:textId="77777777" w:rsidTr="00DF20A2">
        <w:trPr>
          <w:trHeight w:val="276"/>
        </w:trPr>
        <w:tc>
          <w:tcPr>
            <w:tcW w:w="1400" w:type="dxa"/>
            <w:tcBorders>
              <w:top w:val="nil"/>
              <w:left w:val="single" w:sz="4" w:space="0" w:color="auto"/>
              <w:bottom w:val="nil"/>
              <w:right w:val="nil"/>
            </w:tcBorders>
            <w:shd w:val="pct75" w:color="FFFFFF" w:fill="FFFFFF"/>
            <w:noWrap/>
            <w:vAlign w:val="bottom"/>
            <w:hideMark/>
          </w:tcPr>
          <w:p w14:paraId="2523EFE2"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53</w:t>
            </w:r>
          </w:p>
        </w:tc>
        <w:tc>
          <w:tcPr>
            <w:tcW w:w="1400" w:type="dxa"/>
            <w:tcBorders>
              <w:top w:val="nil"/>
              <w:left w:val="single" w:sz="4" w:space="0" w:color="auto"/>
              <w:bottom w:val="nil"/>
              <w:right w:val="nil"/>
            </w:tcBorders>
            <w:shd w:val="pct75" w:color="FFFFFF" w:fill="FFFFFF"/>
            <w:noWrap/>
            <w:vAlign w:val="bottom"/>
            <w:hideMark/>
          </w:tcPr>
          <w:p w14:paraId="6EB66EB1"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27%</w:t>
            </w:r>
          </w:p>
        </w:tc>
        <w:tc>
          <w:tcPr>
            <w:tcW w:w="1400" w:type="dxa"/>
            <w:tcBorders>
              <w:top w:val="nil"/>
              <w:left w:val="single" w:sz="4" w:space="0" w:color="auto"/>
              <w:bottom w:val="nil"/>
              <w:right w:val="nil"/>
            </w:tcBorders>
            <w:shd w:val="pct75" w:color="FFFFFF" w:fill="FFFFFF"/>
            <w:noWrap/>
            <w:vAlign w:val="bottom"/>
            <w:hideMark/>
          </w:tcPr>
          <w:p w14:paraId="67C161FA"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26%</w:t>
            </w:r>
          </w:p>
        </w:tc>
        <w:tc>
          <w:tcPr>
            <w:tcW w:w="1400" w:type="dxa"/>
            <w:tcBorders>
              <w:top w:val="nil"/>
              <w:left w:val="single" w:sz="4" w:space="0" w:color="auto"/>
              <w:bottom w:val="nil"/>
              <w:right w:val="nil"/>
            </w:tcBorders>
            <w:shd w:val="pct75" w:color="FFFFFF" w:fill="FFFFFF"/>
            <w:noWrap/>
            <w:vAlign w:val="bottom"/>
            <w:hideMark/>
          </w:tcPr>
          <w:p w14:paraId="00D8A065"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26%</w:t>
            </w:r>
          </w:p>
        </w:tc>
        <w:tc>
          <w:tcPr>
            <w:tcW w:w="1400" w:type="dxa"/>
            <w:tcBorders>
              <w:top w:val="nil"/>
              <w:left w:val="single" w:sz="4" w:space="0" w:color="auto"/>
              <w:bottom w:val="nil"/>
              <w:right w:val="nil"/>
            </w:tcBorders>
            <w:shd w:val="pct75" w:color="FFFFFF" w:fill="FFFFFF"/>
            <w:noWrap/>
            <w:vAlign w:val="bottom"/>
            <w:hideMark/>
          </w:tcPr>
          <w:p w14:paraId="118DFDBD"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25%</w:t>
            </w:r>
          </w:p>
        </w:tc>
        <w:tc>
          <w:tcPr>
            <w:tcW w:w="1400" w:type="dxa"/>
            <w:tcBorders>
              <w:top w:val="nil"/>
              <w:left w:val="single" w:sz="4" w:space="0" w:color="auto"/>
              <w:bottom w:val="nil"/>
              <w:right w:val="single" w:sz="4" w:space="0" w:color="auto"/>
            </w:tcBorders>
            <w:shd w:val="pct75" w:color="FFFFFF" w:fill="FFFFFF"/>
            <w:noWrap/>
            <w:vAlign w:val="bottom"/>
            <w:hideMark/>
          </w:tcPr>
          <w:p w14:paraId="0F4BF43C"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24%</w:t>
            </w:r>
          </w:p>
        </w:tc>
      </w:tr>
      <w:tr w:rsidR="00426A6F" w:rsidRPr="00426A6F" w14:paraId="25E94FBF" w14:textId="77777777" w:rsidTr="00DF20A2">
        <w:trPr>
          <w:trHeight w:val="276"/>
        </w:trPr>
        <w:tc>
          <w:tcPr>
            <w:tcW w:w="1400" w:type="dxa"/>
            <w:tcBorders>
              <w:top w:val="nil"/>
              <w:left w:val="single" w:sz="4" w:space="0" w:color="auto"/>
              <w:bottom w:val="nil"/>
              <w:right w:val="nil"/>
            </w:tcBorders>
            <w:shd w:val="pct75" w:color="FFFFFF" w:fill="FFFFFF"/>
            <w:noWrap/>
            <w:vAlign w:val="bottom"/>
            <w:hideMark/>
          </w:tcPr>
          <w:p w14:paraId="4E8A8311"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54</w:t>
            </w:r>
          </w:p>
        </w:tc>
        <w:tc>
          <w:tcPr>
            <w:tcW w:w="1400" w:type="dxa"/>
            <w:tcBorders>
              <w:top w:val="nil"/>
              <w:left w:val="single" w:sz="4" w:space="0" w:color="auto"/>
              <w:bottom w:val="nil"/>
              <w:right w:val="nil"/>
            </w:tcBorders>
            <w:shd w:val="pct75" w:color="FFFFFF" w:fill="FFFFFF"/>
            <w:noWrap/>
            <w:vAlign w:val="bottom"/>
            <w:hideMark/>
          </w:tcPr>
          <w:p w14:paraId="32D30B67"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24%</w:t>
            </w:r>
          </w:p>
        </w:tc>
        <w:tc>
          <w:tcPr>
            <w:tcW w:w="1400" w:type="dxa"/>
            <w:tcBorders>
              <w:top w:val="nil"/>
              <w:left w:val="single" w:sz="4" w:space="0" w:color="auto"/>
              <w:bottom w:val="nil"/>
              <w:right w:val="nil"/>
            </w:tcBorders>
            <w:shd w:val="pct75" w:color="FFFFFF" w:fill="FFFFFF"/>
            <w:noWrap/>
            <w:vAlign w:val="bottom"/>
            <w:hideMark/>
          </w:tcPr>
          <w:p w14:paraId="65693B4B"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24%</w:t>
            </w:r>
          </w:p>
        </w:tc>
        <w:tc>
          <w:tcPr>
            <w:tcW w:w="1400" w:type="dxa"/>
            <w:tcBorders>
              <w:top w:val="nil"/>
              <w:left w:val="single" w:sz="4" w:space="0" w:color="auto"/>
              <w:bottom w:val="nil"/>
              <w:right w:val="nil"/>
            </w:tcBorders>
            <w:shd w:val="pct75" w:color="FFFFFF" w:fill="FFFFFF"/>
            <w:noWrap/>
            <w:vAlign w:val="bottom"/>
            <w:hideMark/>
          </w:tcPr>
          <w:p w14:paraId="11149406"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23%</w:t>
            </w:r>
          </w:p>
        </w:tc>
        <w:tc>
          <w:tcPr>
            <w:tcW w:w="1400" w:type="dxa"/>
            <w:tcBorders>
              <w:top w:val="nil"/>
              <w:left w:val="single" w:sz="4" w:space="0" w:color="auto"/>
              <w:bottom w:val="nil"/>
              <w:right w:val="nil"/>
            </w:tcBorders>
            <w:shd w:val="pct75" w:color="FFFFFF" w:fill="FFFFFF"/>
            <w:noWrap/>
            <w:vAlign w:val="bottom"/>
            <w:hideMark/>
          </w:tcPr>
          <w:p w14:paraId="5D7F739C"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22%</w:t>
            </w:r>
          </w:p>
        </w:tc>
        <w:tc>
          <w:tcPr>
            <w:tcW w:w="1400" w:type="dxa"/>
            <w:tcBorders>
              <w:top w:val="nil"/>
              <w:left w:val="single" w:sz="4" w:space="0" w:color="auto"/>
              <w:bottom w:val="nil"/>
              <w:right w:val="single" w:sz="4" w:space="0" w:color="auto"/>
            </w:tcBorders>
            <w:shd w:val="pct75" w:color="FFFFFF" w:fill="FFFFFF"/>
            <w:noWrap/>
            <w:vAlign w:val="bottom"/>
            <w:hideMark/>
          </w:tcPr>
          <w:p w14:paraId="7D8301CF"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22%</w:t>
            </w:r>
          </w:p>
        </w:tc>
      </w:tr>
      <w:tr w:rsidR="00426A6F" w:rsidRPr="00426A6F" w14:paraId="04A7EF75" w14:textId="77777777" w:rsidTr="00DF20A2">
        <w:trPr>
          <w:trHeight w:val="276"/>
        </w:trPr>
        <w:tc>
          <w:tcPr>
            <w:tcW w:w="1400" w:type="dxa"/>
            <w:tcBorders>
              <w:top w:val="nil"/>
              <w:left w:val="single" w:sz="4" w:space="0" w:color="auto"/>
              <w:bottom w:val="nil"/>
              <w:right w:val="nil"/>
            </w:tcBorders>
            <w:shd w:val="pct75" w:color="FFFFFF" w:fill="FFFFFF"/>
            <w:noWrap/>
            <w:vAlign w:val="bottom"/>
            <w:hideMark/>
          </w:tcPr>
          <w:p w14:paraId="02A51B72" w14:textId="77777777" w:rsidR="00426A6F" w:rsidRPr="00426A6F" w:rsidRDefault="00426A6F" w:rsidP="00426A6F">
            <w:pPr>
              <w:keepNext/>
              <w:keepLines/>
              <w:spacing w:after="0" w:line="240" w:lineRule="auto"/>
              <w:jc w:val="center"/>
              <w:rPr>
                <w:rFonts w:eastAsia="Times New Roman" w:cs="Times New Roman"/>
                <w:b/>
                <w:bCs/>
                <w:color w:val="000000"/>
              </w:rPr>
            </w:pPr>
            <w:r w:rsidRPr="00426A6F">
              <w:rPr>
                <w:rFonts w:eastAsia="Times New Roman" w:cs="Times New Roman"/>
                <w:b/>
                <w:bCs/>
                <w:color w:val="000000"/>
              </w:rPr>
              <w:t>55</w:t>
            </w:r>
          </w:p>
        </w:tc>
        <w:tc>
          <w:tcPr>
            <w:tcW w:w="1400" w:type="dxa"/>
            <w:tcBorders>
              <w:top w:val="nil"/>
              <w:left w:val="single" w:sz="4" w:space="0" w:color="auto"/>
              <w:bottom w:val="nil"/>
              <w:right w:val="nil"/>
            </w:tcBorders>
            <w:shd w:val="pct75" w:color="FFFFFF" w:fill="FFFFFF"/>
            <w:noWrap/>
            <w:vAlign w:val="bottom"/>
            <w:hideMark/>
          </w:tcPr>
          <w:p w14:paraId="131A9BB7" w14:textId="77777777" w:rsidR="00426A6F" w:rsidRPr="00426A6F" w:rsidRDefault="00426A6F" w:rsidP="00426A6F">
            <w:pPr>
              <w:keepNext/>
              <w:keepLines/>
              <w:spacing w:after="0" w:line="240" w:lineRule="auto"/>
              <w:jc w:val="center"/>
              <w:rPr>
                <w:rFonts w:eastAsia="Times New Roman" w:cs="Times New Roman"/>
                <w:b/>
                <w:bCs/>
                <w:color w:val="000000"/>
              </w:rPr>
            </w:pPr>
            <w:r w:rsidRPr="00426A6F">
              <w:rPr>
                <w:rFonts w:eastAsia="Times New Roman" w:cs="Times New Roman"/>
                <w:b/>
                <w:bCs/>
                <w:color w:val="000000"/>
              </w:rPr>
              <w:t>21%</w:t>
            </w:r>
          </w:p>
        </w:tc>
        <w:tc>
          <w:tcPr>
            <w:tcW w:w="1400" w:type="dxa"/>
            <w:tcBorders>
              <w:top w:val="nil"/>
              <w:left w:val="single" w:sz="4" w:space="0" w:color="auto"/>
              <w:bottom w:val="nil"/>
              <w:right w:val="nil"/>
            </w:tcBorders>
            <w:shd w:val="pct75" w:color="FFFFFF" w:fill="FFFFFF"/>
            <w:noWrap/>
            <w:vAlign w:val="bottom"/>
            <w:hideMark/>
          </w:tcPr>
          <w:p w14:paraId="7ED470E7"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20%</w:t>
            </w:r>
          </w:p>
        </w:tc>
        <w:tc>
          <w:tcPr>
            <w:tcW w:w="1400" w:type="dxa"/>
            <w:tcBorders>
              <w:top w:val="nil"/>
              <w:left w:val="single" w:sz="4" w:space="0" w:color="auto"/>
              <w:bottom w:val="nil"/>
              <w:right w:val="nil"/>
            </w:tcBorders>
            <w:shd w:val="pct75" w:color="FFFFFF" w:fill="FFFFFF"/>
            <w:noWrap/>
            <w:vAlign w:val="bottom"/>
            <w:hideMark/>
          </w:tcPr>
          <w:p w14:paraId="36FC5251"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20%</w:t>
            </w:r>
          </w:p>
        </w:tc>
        <w:tc>
          <w:tcPr>
            <w:tcW w:w="1400" w:type="dxa"/>
            <w:tcBorders>
              <w:top w:val="nil"/>
              <w:left w:val="single" w:sz="4" w:space="0" w:color="auto"/>
              <w:bottom w:val="nil"/>
              <w:right w:val="nil"/>
            </w:tcBorders>
            <w:shd w:val="pct75" w:color="FFFFFF" w:fill="FFFFFF"/>
            <w:noWrap/>
            <w:vAlign w:val="bottom"/>
            <w:hideMark/>
          </w:tcPr>
          <w:p w14:paraId="08EEC5C5"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19%</w:t>
            </w:r>
          </w:p>
        </w:tc>
        <w:tc>
          <w:tcPr>
            <w:tcW w:w="1400" w:type="dxa"/>
            <w:tcBorders>
              <w:top w:val="nil"/>
              <w:left w:val="single" w:sz="4" w:space="0" w:color="auto"/>
              <w:bottom w:val="nil"/>
              <w:right w:val="single" w:sz="4" w:space="0" w:color="auto"/>
            </w:tcBorders>
            <w:shd w:val="pct75" w:color="FFFFFF" w:fill="FFFFFF"/>
            <w:noWrap/>
            <w:vAlign w:val="bottom"/>
            <w:hideMark/>
          </w:tcPr>
          <w:p w14:paraId="4B25CFF6"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19%</w:t>
            </w:r>
          </w:p>
        </w:tc>
      </w:tr>
      <w:tr w:rsidR="00426A6F" w:rsidRPr="00426A6F" w14:paraId="2AC60773" w14:textId="77777777" w:rsidTr="00DF20A2">
        <w:trPr>
          <w:trHeight w:val="276"/>
        </w:trPr>
        <w:tc>
          <w:tcPr>
            <w:tcW w:w="1400" w:type="dxa"/>
            <w:tcBorders>
              <w:top w:val="nil"/>
              <w:left w:val="single" w:sz="4" w:space="0" w:color="auto"/>
              <w:bottom w:val="nil"/>
              <w:right w:val="nil"/>
            </w:tcBorders>
            <w:shd w:val="pct75" w:color="FFFFFF" w:fill="FFFFFF"/>
            <w:noWrap/>
            <w:vAlign w:val="bottom"/>
            <w:hideMark/>
          </w:tcPr>
          <w:p w14:paraId="3999FBE0"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56</w:t>
            </w:r>
          </w:p>
        </w:tc>
        <w:tc>
          <w:tcPr>
            <w:tcW w:w="1400" w:type="dxa"/>
            <w:tcBorders>
              <w:top w:val="nil"/>
              <w:left w:val="single" w:sz="4" w:space="0" w:color="auto"/>
              <w:bottom w:val="nil"/>
              <w:right w:val="nil"/>
            </w:tcBorders>
            <w:shd w:val="pct75" w:color="FFFFFF" w:fill="FFFFFF"/>
            <w:noWrap/>
            <w:vAlign w:val="bottom"/>
            <w:hideMark/>
          </w:tcPr>
          <w:p w14:paraId="636085D5"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17%</w:t>
            </w:r>
          </w:p>
        </w:tc>
        <w:tc>
          <w:tcPr>
            <w:tcW w:w="1400" w:type="dxa"/>
            <w:tcBorders>
              <w:top w:val="nil"/>
              <w:left w:val="single" w:sz="4" w:space="0" w:color="auto"/>
              <w:bottom w:val="nil"/>
              <w:right w:val="nil"/>
            </w:tcBorders>
            <w:shd w:val="pct75" w:color="FFFFFF" w:fill="FFFFFF"/>
            <w:noWrap/>
            <w:vAlign w:val="bottom"/>
            <w:hideMark/>
          </w:tcPr>
          <w:p w14:paraId="08FB24D5"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17%</w:t>
            </w:r>
          </w:p>
        </w:tc>
        <w:tc>
          <w:tcPr>
            <w:tcW w:w="1400" w:type="dxa"/>
            <w:tcBorders>
              <w:top w:val="nil"/>
              <w:left w:val="single" w:sz="4" w:space="0" w:color="auto"/>
              <w:bottom w:val="nil"/>
              <w:right w:val="nil"/>
            </w:tcBorders>
            <w:shd w:val="pct75" w:color="FFFFFF" w:fill="FFFFFF"/>
            <w:noWrap/>
            <w:vAlign w:val="bottom"/>
            <w:hideMark/>
          </w:tcPr>
          <w:p w14:paraId="25C0BACD"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16%</w:t>
            </w:r>
          </w:p>
        </w:tc>
        <w:tc>
          <w:tcPr>
            <w:tcW w:w="1400" w:type="dxa"/>
            <w:tcBorders>
              <w:top w:val="nil"/>
              <w:left w:val="single" w:sz="4" w:space="0" w:color="auto"/>
              <w:bottom w:val="nil"/>
              <w:right w:val="nil"/>
            </w:tcBorders>
            <w:shd w:val="pct75" w:color="FFFFFF" w:fill="FFFFFF"/>
            <w:noWrap/>
            <w:vAlign w:val="bottom"/>
            <w:hideMark/>
          </w:tcPr>
          <w:p w14:paraId="6DCAFF85"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16%</w:t>
            </w:r>
          </w:p>
        </w:tc>
        <w:tc>
          <w:tcPr>
            <w:tcW w:w="1400" w:type="dxa"/>
            <w:tcBorders>
              <w:top w:val="nil"/>
              <w:left w:val="single" w:sz="4" w:space="0" w:color="auto"/>
              <w:bottom w:val="nil"/>
              <w:right w:val="single" w:sz="4" w:space="0" w:color="auto"/>
            </w:tcBorders>
            <w:shd w:val="pct75" w:color="FFFFFF" w:fill="FFFFFF"/>
            <w:noWrap/>
            <w:vAlign w:val="bottom"/>
            <w:hideMark/>
          </w:tcPr>
          <w:p w14:paraId="1FB9823C"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15%</w:t>
            </w:r>
          </w:p>
        </w:tc>
      </w:tr>
      <w:tr w:rsidR="00426A6F" w:rsidRPr="00426A6F" w14:paraId="07CD0F3D" w14:textId="77777777" w:rsidTr="00DF20A2">
        <w:trPr>
          <w:trHeight w:val="276"/>
        </w:trPr>
        <w:tc>
          <w:tcPr>
            <w:tcW w:w="1400" w:type="dxa"/>
            <w:tcBorders>
              <w:top w:val="nil"/>
              <w:left w:val="single" w:sz="4" w:space="0" w:color="auto"/>
              <w:bottom w:val="nil"/>
              <w:right w:val="nil"/>
            </w:tcBorders>
            <w:shd w:val="pct75" w:color="FFFFFF" w:fill="FFFFFF"/>
            <w:noWrap/>
            <w:vAlign w:val="bottom"/>
            <w:hideMark/>
          </w:tcPr>
          <w:p w14:paraId="0A187D7B"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57</w:t>
            </w:r>
          </w:p>
        </w:tc>
        <w:tc>
          <w:tcPr>
            <w:tcW w:w="1400" w:type="dxa"/>
            <w:tcBorders>
              <w:top w:val="nil"/>
              <w:left w:val="single" w:sz="4" w:space="0" w:color="auto"/>
              <w:bottom w:val="nil"/>
              <w:right w:val="nil"/>
            </w:tcBorders>
            <w:shd w:val="pct75" w:color="FFFFFF" w:fill="FFFFFF"/>
            <w:noWrap/>
            <w:vAlign w:val="bottom"/>
            <w:hideMark/>
          </w:tcPr>
          <w:p w14:paraId="68927BB9"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13%</w:t>
            </w:r>
          </w:p>
        </w:tc>
        <w:tc>
          <w:tcPr>
            <w:tcW w:w="1400" w:type="dxa"/>
            <w:tcBorders>
              <w:top w:val="nil"/>
              <w:left w:val="single" w:sz="4" w:space="0" w:color="auto"/>
              <w:bottom w:val="nil"/>
              <w:right w:val="nil"/>
            </w:tcBorders>
            <w:shd w:val="pct75" w:color="FFFFFF" w:fill="FFFFFF"/>
            <w:noWrap/>
            <w:vAlign w:val="bottom"/>
            <w:hideMark/>
          </w:tcPr>
          <w:p w14:paraId="56A15035"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13%</w:t>
            </w:r>
          </w:p>
        </w:tc>
        <w:tc>
          <w:tcPr>
            <w:tcW w:w="1400" w:type="dxa"/>
            <w:tcBorders>
              <w:top w:val="nil"/>
              <w:left w:val="single" w:sz="4" w:space="0" w:color="auto"/>
              <w:bottom w:val="nil"/>
              <w:right w:val="nil"/>
            </w:tcBorders>
            <w:shd w:val="pct75" w:color="FFFFFF" w:fill="FFFFFF"/>
            <w:noWrap/>
            <w:vAlign w:val="bottom"/>
            <w:hideMark/>
          </w:tcPr>
          <w:p w14:paraId="058EDF98"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13%</w:t>
            </w:r>
          </w:p>
        </w:tc>
        <w:tc>
          <w:tcPr>
            <w:tcW w:w="1400" w:type="dxa"/>
            <w:tcBorders>
              <w:top w:val="nil"/>
              <w:left w:val="single" w:sz="4" w:space="0" w:color="auto"/>
              <w:bottom w:val="nil"/>
              <w:right w:val="nil"/>
            </w:tcBorders>
            <w:shd w:val="pct75" w:color="FFFFFF" w:fill="FFFFFF"/>
            <w:noWrap/>
            <w:vAlign w:val="bottom"/>
            <w:hideMark/>
          </w:tcPr>
          <w:p w14:paraId="552471A1"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12%</w:t>
            </w:r>
          </w:p>
        </w:tc>
        <w:tc>
          <w:tcPr>
            <w:tcW w:w="1400" w:type="dxa"/>
            <w:tcBorders>
              <w:top w:val="nil"/>
              <w:left w:val="single" w:sz="4" w:space="0" w:color="auto"/>
              <w:bottom w:val="nil"/>
              <w:right w:val="single" w:sz="4" w:space="0" w:color="auto"/>
            </w:tcBorders>
            <w:shd w:val="pct75" w:color="FFFFFF" w:fill="FFFFFF"/>
            <w:noWrap/>
            <w:vAlign w:val="bottom"/>
            <w:hideMark/>
          </w:tcPr>
          <w:p w14:paraId="72281C28"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12%</w:t>
            </w:r>
          </w:p>
        </w:tc>
      </w:tr>
      <w:tr w:rsidR="00426A6F" w:rsidRPr="00426A6F" w14:paraId="2C7BCC0D" w14:textId="77777777" w:rsidTr="00DF20A2">
        <w:trPr>
          <w:trHeight w:val="276"/>
        </w:trPr>
        <w:tc>
          <w:tcPr>
            <w:tcW w:w="1400" w:type="dxa"/>
            <w:tcBorders>
              <w:top w:val="nil"/>
              <w:left w:val="single" w:sz="4" w:space="0" w:color="auto"/>
              <w:bottom w:val="nil"/>
              <w:right w:val="nil"/>
            </w:tcBorders>
            <w:shd w:val="pct75" w:color="FFFFFF" w:fill="FFFFFF"/>
            <w:noWrap/>
            <w:vAlign w:val="bottom"/>
            <w:hideMark/>
          </w:tcPr>
          <w:p w14:paraId="60CE4F6E"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58</w:t>
            </w:r>
          </w:p>
        </w:tc>
        <w:tc>
          <w:tcPr>
            <w:tcW w:w="1400" w:type="dxa"/>
            <w:tcBorders>
              <w:top w:val="nil"/>
              <w:left w:val="single" w:sz="4" w:space="0" w:color="auto"/>
              <w:bottom w:val="nil"/>
              <w:right w:val="nil"/>
            </w:tcBorders>
            <w:shd w:val="pct75" w:color="FFFFFF" w:fill="FFFFFF"/>
            <w:noWrap/>
            <w:vAlign w:val="bottom"/>
            <w:hideMark/>
          </w:tcPr>
          <w:p w14:paraId="65CA189C"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9%</w:t>
            </w:r>
          </w:p>
        </w:tc>
        <w:tc>
          <w:tcPr>
            <w:tcW w:w="1400" w:type="dxa"/>
            <w:tcBorders>
              <w:top w:val="nil"/>
              <w:left w:val="single" w:sz="4" w:space="0" w:color="auto"/>
              <w:bottom w:val="nil"/>
              <w:right w:val="nil"/>
            </w:tcBorders>
            <w:shd w:val="pct75" w:color="FFFFFF" w:fill="FFFFFF"/>
            <w:noWrap/>
            <w:vAlign w:val="bottom"/>
            <w:hideMark/>
          </w:tcPr>
          <w:p w14:paraId="151EF6DC"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9%</w:t>
            </w:r>
          </w:p>
        </w:tc>
        <w:tc>
          <w:tcPr>
            <w:tcW w:w="1400" w:type="dxa"/>
            <w:tcBorders>
              <w:top w:val="nil"/>
              <w:left w:val="single" w:sz="4" w:space="0" w:color="auto"/>
              <w:bottom w:val="nil"/>
              <w:right w:val="nil"/>
            </w:tcBorders>
            <w:shd w:val="pct75" w:color="FFFFFF" w:fill="FFFFFF"/>
            <w:noWrap/>
            <w:vAlign w:val="bottom"/>
            <w:hideMark/>
          </w:tcPr>
          <w:p w14:paraId="5FF115C2"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9%</w:t>
            </w:r>
          </w:p>
        </w:tc>
        <w:tc>
          <w:tcPr>
            <w:tcW w:w="1400" w:type="dxa"/>
            <w:tcBorders>
              <w:top w:val="nil"/>
              <w:left w:val="single" w:sz="4" w:space="0" w:color="auto"/>
              <w:bottom w:val="nil"/>
              <w:right w:val="nil"/>
            </w:tcBorders>
            <w:shd w:val="pct75" w:color="FFFFFF" w:fill="FFFFFF"/>
            <w:noWrap/>
            <w:vAlign w:val="bottom"/>
            <w:hideMark/>
          </w:tcPr>
          <w:p w14:paraId="3EDCAA63"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9%</w:t>
            </w:r>
          </w:p>
        </w:tc>
        <w:tc>
          <w:tcPr>
            <w:tcW w:w="1400" w:type="dxa"/>
            <w:tcBorders>
              <w:top w:val="nil"/>
              <w:left w:val="single" w:sz="4" w:space="0" w:color="auto"/>
              <w:bottom w:val="nil"/>
              <w:right w:val="single" w:sz="4" w:space="0" w:color="auto"/>
            </w:tcBorders>
            <w:shd w:val="pct75" w:color="FFFFFF" w:fill="FFFFFF"/>
            <w:noWrap/>
            <w:vAlign w:val="bottom"/>
            <w:hideMark/>
          </w:tcPr>
          <w:p w14:paraId="32817BEC"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8%</w:t>
            </w:r>
          </w:p>
        </w:tc>
      </w:tr>
      <w:tr w:rsidR="00426A6F" w:rsidRPr="00426A6F" w14:paraId="451455C3" w14:textId="77777777" w:rsidTr="00DF20A2">
        <w:trPr>
          <w:trHeight w:val="276"/>
        </w:trPr>
        <w:tc>
          <w:tcPr>
            <w:tcW w:w="1400" w:type="dxa"/>
            <w:tcBorders>
              <w:top w:val="nil"/>
              <w:left w:val="single" w:sz="4" w:space="0" w:color="auto"/>
              <w:bottom w:val="single" w:sz="4" w:space="0" w:color="auto"/>
              <w:right w:val="nil"/>
            </w:tcBorders>
            <w:shd w:val="pct75" w:color="FFFFFF" w:fill="FFFFFF"/>
            <w:noWrap/>
            <w:vAlign w:val="bottom"/>
            <w:hideMark/>
          </w:tcPr>
          <w:p w14:paraId="244FD4DC"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59</w:t>
            </w:r>
          </w:p>
        </w:tc>
        <w:tc>
          <w:tcPr>
            <w:tcW w:w="1400" w:type="dxa"/>
            <w:tcBorders>
              <w:top w:val="nil"/>
              <w:left w:val="single" w:sz="4" w:space="0" w:color="auto"/>
              <w:bottom w:val="single" w:sz="4" w:space="0" w:color="auto"/>
              <w:right w:val="nil"/>
            </w:tcBorders>
            <w:shd w:val="pct75" w:color="FFFFFF" w:fill="FFFFFF"/>
            <w:noWrap/>
            <w:vAlign w:val="bottom"/>
            <w:hideMark/>
          </w:tcPr>
          <w:p w14:paraId="25A5B000"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5%</w:t>
            </w:r>
          </w:p>
        </w:tc>
        <w:tc>
          <w:tcPr>
            <w:tcW w:w="1400" w:type="dxa"/>
            <w:tcBorders>
              <w:top w:val="nil"/>
              <w:left w:val="single" w:sz="4" w:space="0" w:color="auto"/>
              <w:bottom w:val="single" w:sz="4" w:space="0" w:color="auto"/>
              <w:right w:val="nil"/>
            </w:tcBorders>
            <w:shd w:val="pct75" w:color="FFFFFF" w:fill="FFFFFF"/>
            <w:noWrap/>
            <w:vAlign w:val="bottom"/>
            <w:hideMark/>
          </w:tcPr>
          <w:p w14:paraId="605DACB1"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5%</w:t>
            </w:r>
          </w:p>
        </w:tc>
        <w:tc>
          <w:tcPr>
            <w:tcW w:w="1400" w:type="dxa"/>
            <w:tcBorders>
              <w:top w:val="nil"/>
              <w:left w:val="single" w:sz="4" w:space="0" w:color="auto"/>
              <w:bottom w:val="single" w:sz="4" w:space="0" w:color="auto"/>
              <w:right w:val="nil"/>
            </w:tcBorders>
            <w:shd w:val="pct75" w:color="FFFFFF" w:fill="FFFFFF"/>
            <w:noWrap/>
            <w:vAlign w:val="bottom"/>
            <w:hideMark/>
          </w:tcPr>
          <w:p w14:paraId="04B6E117"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5%</w:t>
            </w:r>
          </w:p>
        </w:tc>
        <w:tc>
          <w:tcPr>
            <w:tcW w:w="1400" w:type="dxa"/>
            <w:tcBorders>
              <w:top w:val="nil"/>
              <w:left w:val="single" w:sz="4" w:space="0" w:color="auto"/>
              <w:bottom w:val="single" w:sz="4" w:space="0" w:color="auto"/>
              <w:right w:val="nil"/>
            </w:tcBorders>
            <w:shd w:val="pct75" w:color="FFFFFF" w:fill="FFFFFF"/>
            <w:noWrap/>
            <w:vAlign w:val="bottom"/>
            <w:hideMark/>
          </w:tcPr>
          <w:p w14:paraId="76E5DA36"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4%</w:t>
            </w:r>
          </w:p>
        </w:tc>
        <w:tc>
          <w:tcPr>
            <w:tcW w:w="1400" w:type="dxa"/>
            <w:tcBorders>
              <w:top w:val="nil"/>
              <w:left w:val="single" w:sz="4" w:space="0" w:color="auto"/>
              <w:bottom w:val="single" w:sz="4" w:space="0" w:color="auto"/>
              <w:right w:val="single" w:sz="4" w:space="0" w:color="auto"/>
            </w:tcBorders>
            <w:shd w:val="pct75" w:color="FFFFFF" w:fill="FFFFFF"/>
            <w:noWrap/>
            <w:vAlign w:val="bottom"/>
            <w:hideMark/>
          </w:tcPr>
          <w:p w14:paraId="6AF145EC" w14:textId="77777777" w:rsidR="00426A6F" w:rsidRPr="00426A6F" w:rsidRDefault="00426A6F" w:rsidP="00426A6F">
            <w:pPr>
              <w:keepNext/>
              <w:keepLines/>
              <w:spacing w:after="0" w:line="240" w:lineRule="auto"/>
              <w:jc w:val="center"/>
              <w:rPr>
                <w:rFonts w:eastAsia="Times New Roman" w:cs="Times New Roman"/>
                <w:color w:val="000000"/>
              </w:rPr>
            </w:pPr>
            <w:r w:rsidRPr="00426A6F">
              <w:rPr>
                <w:rFonts w:eastAsia="Times New Roman" w:cs="Times New Roman"/>
                <w:color w:val="000000"/>
              </w:rPr>
              <w:t>4%</w:t>
            </w:r>
          </w:p>
        </w:tc>
      </w:tr>
    </w:tbl>
    <w:p w14:paraId="382AEA63" w14:textId="77777777" w:rsidR="00426A6F" w:rsidRPr="00426A6F" w:rsidRDefault="00426A6F" w:rsidP="00426A6F">
      <w:pPr>
        <w:spacing w:after="0" w:line="240" w:lineRule="auto"/>
        <w:ind w:right="-270"/>
        <w:jc w:val="both"/>
        <w:rPr>
          <w:rFonts w:ascii="Times New Roman" w:eastAsia="Times New Roman" w:hAnsi="Times New Roman" w:cs="Times New Roman"/>
        </w:rPr>
      </w:pPr>
    </w:p>
    <w:p w14:paraId="616EBBEB" w14:textId="77777777" w:rsidR="00426A6F" w:rsidRPr="00426A6F" w:rsidRDefault="00426A6F" w:rsidP="00426A6F">
      <w:pPr>
        <w:jc w:val="both"/>
      </w:pPr>
      <w:r w:rsidRPr="00426A6F">
        <w:rPr>
          <w:b/>
        </w:rPr>
        <w:t>A comprehensive pension reform program should also include adjustments to survivorship and disability benefits and to the practice of purchasing years of service</w:t>
      </w:r>
      <w:r w:rsidRPr="00426A6F">
        <w:t>. The Palestinian public pension system offers generous survivorship</w:t>
      </w:r>
      <w:r w:rsidRPr="00426A6F">
        <w:rPr>
          <w:vertAlign w:val="superscript"/>
        </w:rPr>
        <w:footnoteReference w:id="20"/>
      </w:r>
      <w:r w:rsidRPr="00426A6F">
        <w:t xml:space="preserve"> and disability benefits. An in-depth assessment of these programs needs to be undertaken to come up with recommendations on how to best deal with these growing expenditures. In addition, members are allowed to purchase extra years of service to become eligible for a pension. This option creates a fiscal burden on the system and should be gradually reduced or even fully eliminated. </w:t>
      </w:r>
    </w:p>
    <w:p w14:paraId="702C0C0C" w14:textId="77777777" w:rsidR="00426A6F" w:rsidRPr="00426A6F" w:rsidRDefault="00426A6F" w:rsidP="00426A6F">
      <w:pPr>
        <w:jc w:val="both"/>
      </w:pPr>
      <w:r w:rsidRPr="00426A6F">
        <w:rPr>
          <w:b/>
        </w:rPr>
        <w:lastRenderedPageBreak/>
        <w:t>Although the impact of parametric reforms on Schemes I, III, and IV was not assessed for this PER, it is believed that it will be similar to that presented for Scheme II, but will manifest much earlier</w:t>
      </w:r>
      <w:r w:rsidRPr="00426A6F">
        <w:t xml:space="preserve">. The challenge related to reforming these three schemes is that adjustments will affect pension benefits of a population that is closer to retirement age. Based on experience from other countries that implemented similar reforms, a gradual adjustment formula needs to be adopted. If such a reform path proves feasible in the Palestinian context, it would reduce pressure on Scheme II, allowing for further accumulation of reserves, which will delay their eventual depletion. </w:t>
      </w:r>
    </w:p>
    <w:p w14:paraId="64D714DB" w14:textId="77777777" w:rsidR="00426A6F" w:rsidRPr="00426A6F" w:rsidRDefault="00426A6F" w:rsidP="00426A6F">
      <w:pPr>
        <w:jc w:val="both"/>
        <w:rPr>
          <w:b/>
        </w:rPr>
      </w:pPr>
      <w:r w:rsidRPr="00426A6F">
        <w:rPr>
          <w:b/>
        </w:rPr>
        <w:t xml:space="preserve">The PPA has been trying to expand coverage as part of its reform efforts, but this is not recommended at this stage. </w:t>
      </w:r>
      <w:r w:rsidRPr="00426A6F">
        <w:t>The PPA has focused recent efforts on adding individuals from the private and non-governmental sectors to the public pension system. The number of contributors from this group increased 10 percent between December 2013 and September 2014, to reach 3,350. At the same time, the number of beneficiaries increased exponentially by 675 percent, mainly through the survivorship scheme.</w:t>
      </w:r>
      <w:r w:rsidRPr="00426A6F">
        <w:rPr>
          <w:vertAlign w:val="superscript"/>
        </w:rPr>
        <w:footnoteReference w:id="21"/>
      </w:r>
      <w:r w:rsidRPr="00426A6F">
        <w:t xml:space="preserve"> Expanding coverage at this stage, when no other reforms are implemented, would further increase pension spending and worsen the system’s financial situation. This could also happen if a decision is made to add Hamas employees in Gaza to the PA’s payroll (although the effect on pension spending could perhaps be lower because the average wage for Hamas employees is lower than that of PA employees). </w:t>
      </w:r>
    </w:p>
    <w:p w14:paraId="2A47F000" w14:textId="77777777" w:rsidR="00426A6F" w:rsidRPr="00426A6F" w:rsidRDefault="00426A6F" w:rsidP="00426A6F">
      <w:pPr>
        <w:keepNext/>
        <w:keepLines/>
        <w:spacing w:before="40" w:after="0"/>
        <w:jc w:val="both"/>
        <w:outlineLvl w:val="1"/>
        <w:rPr>
          <w:rFonts w:ascii="Cambria" w:eastAsia="Times New Roman" w:hAnsi="Cambria" w:cs="Times New Roman"/>
          <w:b/>
          <w:bCs/>
          <w:color w:val="4F81BD"/>
          <w:sz w:val="26"/>
          <w:szCs w:val="26"/>
        </w:rPr>
      </w:pPr>
      <w:bookmarkStart w:id="37" w:name="_Toc422744760"/>
      <w:r w:rsidRPr="00426A6F">
        <w:rPr>
          <w:rFonts w:ascii="Cambria" w:eastAsia="Times New Roman" w:hAnsi="Cambria" w:cs="Times New Roman"/>
          <w:b/>
          <w:bCs/>
          <w:color w:val="4F81BD"/>
          <w:sz w:val="26"/>
          <w:szCs w:val="26"/>
        </w:rPr>
        <w:t>4.4 Potential cost savings from implementing the 2011 Pension Reform Action Plan</w:t>
      </w:r>
      <w:bookmarkEnd w:id="37"/>
    </w:p>
    <w:p w14:paraId="24CEECB2" w14:textId="77777777" w:rsidR="00426A6F" w:rsidRPr="00426A6F" w:rsidRDefault="00426A6F" w:rsidP="00426A6F">
      <w:pPr>
        <w:spacing w:after="0" w:line="240" w:lineRule="auto"/>
        <w:jc w:val="both"/>
        <w:rPr>
          <w:rFonts w:ascii="Times New Roman" w:eastAsia="Times New Roman" w:hAnsi="Times New Roman" w:cs="Times New Roman"/>
        </w:rPr>
      </w:pPr>
    </w:p>
    <w:p w14:paraId="315B2116" w14:textId="77777777" w:rsidR="00426A6F" w:rsidRPr="00426A6F" w:rsidRDefault="00426A6F" w:rsidP="00426A6F">
      <w:pPr>
        <w:jc w:val="both"/>
        <w:rPr>
          <w:rFonts w:ascii="Garamond" w:eastAsia="Times New Roman" w:hAnsi="Garamond" w:cs="Times New Roman"/>
          <w:sz w:val="24"/>
          <w:szCs w:val="24"/>
        </w:rPr>
      </w:pPr>
      <w:r w:rsidRPr="00426A6F">
        <w:rPr>
          <w:b/>
        </w:rPr>
        <w:t>Implementing the Pension Reform Action Plan approved by the Cabinet in 2011</w:t>
      </w:r>
      <w:r w:rsidRPr="00426A6F">
        <w:rPr>
          <w:b/>
          <w:vertAlign w:val="superscript"/>
        </w:rPr>
        <w:footnoteReference w:id="22"/>
      </w:r>
      <w:r w:rsidRPr="00426A6F">
        <w:rPr>
          <w:b/>
        </w:rPr>
        <w:t xml:space="preserve"> could generate considerable savings.</w:t>
      </w:r>
      <w:r w:rsidRPr="00426A6F">
        <w:t xml:space="preserve"> </w:t>
      </w:r>
      <w:r w:rsidRPr="00426A6F">
        <w:fldChar w:fldCharType="begin"/>
      </w:r>
      <w:r w:rsidRPr="00426A6F">
        <w:instrText xml:space="preserve"> REF _Ref422158210 \h </w:instrText>
      </w:r>
      <w:r w:rsidRPr="00426A6F">
        <w:fldChar w:fldCharType="separate"/>
      </w:r>
      <w:r w:rsidRPr="00426A6F">
        <w:t xml:space="preserve">Table </w:t>
      </w:r>
      <w:r w:rsidRPr="00426A6F">
        <w:rPr>
          <w:noProof/>
        </w:rPr>
        <w:t>28</w:t>
      </w:r>
      <w:r w:rsidRPr="00426A6F">
        <w:fldChar w:fldCharType="end"/>
      </w:r>
      <w:r w:rsidRPr="00426A6F">
        <w:t xml:space="preserve"> presents the estimated public pension expenditure for each scheme under a baseline scenario and under the assumption that the action plan is implemented. Notably, the table also presents figures on estimated expenditures assuming that Hamas employees from Gaza</w:t>
      </w:r>
      <w:r w:rsidRPr="00426A6F">
        <w:rPr>
          <w:vertAlign w:val="superscript"/>
        </w:rPr>
        <w:footnoteReference w:id="23"/>
      </w:r>
      <w:r w:rsidRPr="00426A6F">
        <w:t xml:space="preserve"> are added to the PA’s payroll.</w:t>
      </w:r>
      <w:r w:rsidRPr="00426A6F">
        <w:rPr>
          <w:vertAlign w:val="superscript"/>
        </w:rPr>
        <w:footnoteReference w:id="24"/>
      </w:r>
      <w:r w:rsidRPr="00426A6F">
        <w:t xml:space="preserve"> Expenditure in 2020 for this group alone is estimated at about NIS 18 million.</w:t>
      </w:r>
      <w:r w:rsidRPr="00426A6F">
        <w:rPr>
          <w:vertAlign w:val="superscript"/>
        </w:rPr>
        <w:footnoteReference w:id="25"/>
      </w:r>
      <w:r w:rsidRPr="00426A6F">
        <w:t xml:space="preserve"> According to preliminary estimates, the proposed measures may lead to accumulated savings of around NIS 130 million in the first three years of implementation. Estimates also indicate that the reduction in expenditure will even be higher in the following years, surpassing NIS 100 million by 2020. Such a reduction in pension liabilities will reduce the burden on the public budget and release funds that can be used to support social programs with a high redistributive impact. </w:t>
      </w:r>
    </w:p>
    <w:p w14:paraId="10111A38" w14:textId="77777777" w:rsidR="00426A6F" w:rsidRPr="00426A6F" w:rsidRDefault="00426A6F" w:rsidP="00426A6F">
      <w:pPr>
        <w:keepNext/>
        <w:keepLines/>
        <w:spacing w:after="0" w:line="240" w:lineRule="auto"/>
        <w:jc w:val="center"/>
        <w:rPr>
          <w:b/>
          <w:iCs/>
        </w:rPr>
      </w:pPr>
      <w:bookmarkStart w:id="38" w:name="_Ref422158210"/>
      <w:bookmarkStart w:id="39" w:name="_Toc422385120"/>
      <w:r w:rsidRPr="00426A6F">
        <w:rPr>
          <w:b/>
          <w:iCs/>
        </w:rPr>
        <w:lastRenderedPageBreak/>
        <w:t xml:space="preserve">Table </w:t>
      </w:r>
      <w:r w:rsidRPr="00426A6F">
        <w:rPr>
          <w:b/>
          <w:iCs/>
        </w:rPr>
        <w:fldChar w:fldCharType="begin"/>
      </w:r>
      <w:r w:rsidRPr="00426A6F">
        <w:rPr>
          <w:b/>
          <w:iCs/>
        </w:rPr>
        <w:instrText xml:space="preserve"> SEQ Table \* ARABIC </w:instrText>
      </w:r>
      <w:r w:rsidRPr="00426A6F">
        <w:rPr>
          <w:b/>
          <w:iCs/>
        </w:rPr>
        <w:fldChar w:fldCharType="separate"/>
      </w:r>
      <w:r w:rsidRPr="00426A6F">
        <w:rPr>
          <w:b/>
          <w:iCs/>
          <w:noProof/>
        </w:rPr>
        <w:t>28</w:t>
      </w:r>
      <w:r w:rsidRPr="00426A6F">
        <w:rPr>
          <w:b/>
          <w:iCs/>
          <w:noProof/>
        </w:rPr>
        <w:fldChar w:fldCharType="end"/>
      </w:r>
      <w:bookmarkEnd w:id="38"/>
      <w:r w:rsidRPr="00426A6F">
        <w:rPr>
          <w:b/>
          <w:iCs/>
        </w:rPr>
        <w:t>: Estimated public pension expenditures (NIS million)</w:t>
      </w:r>
      <w:r w:rsidRPr="00426A6F">
        <w:rPr>
          <w:b/>
          <w:iCs/>
          <w:vertAlign w:val="superscript"/>
        </w:rPr>
        <w:footnoteReference w:id="26"/>
      </w:r>
      <w:r w:rsidRPr="00426A6F">
        <w:rPr>
          <w:b/>
          <w:iCs/>
        </w:rPr>
        <w:t xml:space="preserve"> for each scenario, 2013-2050</w:t>
      </w:r>
      <w:bookmarkEnd w:id="39"/>
    </w:p>
    <w:bookmarkEnd w:id="21"/>
    <w:p w14:paraId="7B2785EC" w14:textId="77777777" w:rsidR="00426A6F" w:rsidRPr="00426A6F" w:rsidRDefault="00426A6F" w:rsidP="00426A6F">
      <w:pPr>
        <w:keepNext/>
        <w:keepLines/>
        <w:spacing w:after="0" w:line="240" w:lineRule="auto"/>
        <w:jc w:val="both"/>
        <w:rPr>
          <w:rFonts w:ascii="Garamond" w:eastAsia="Times New Roman" w:hAnsi="Garamond" w:cs="Times New Roman"/>
          <w:color w:val="000000"/>
          <w:sz w:val="24"/>
          <w:szCs w:val="24"/>
        </w:rPr>
      </w:pPr>
      <w:r w:rsidRPr="00426A6F">
        <w:rPr>
          <w:rFonts w:ascii="Times New Roman" w:eastAsia="Times New Roman" w:hAnsi="Times New Roman" w:cs="Times New Roman"/>
          <w:noProof/>
          <w:sz w:val="24"/>
          <w:szCs w:val="24"/>
        </w:rPr>
        <w:drawing>
          <wp:inline distT="0" distB="0" distL="0" distR="0" wp14:anchorId="35E92B7B" wp14:editId="4D35DEE8">
            <wp:extent cx="6188710" cy="3090256"/>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88710" cy="3090256"/>
                    </a:xfrm>
                    <a:prstGeom prst="rect">
                      <a:avLst/>
                    </a:prstGeom>
                    <a:noFill/>
                    <a:ln>
                      <a:noFill/>
                    </a:ln>
                  </pic:spPr>
                </pic:pic>
              </a:graphicData>
            </a:graphic>
          </wp:inline>
        </w:drawing>
      </w:r>
    </w:p>
    <w:p w14:paraId="364995B0" w14:textId="77777777" w:rsidR="00426A6F" w:rsidRPr="00426A6F" w:rsidRDefault="00426A6F" w:rsidP="00426A6F">
      <w:pPr>
        <w:jc w:val="both"/>
      </w:pPr>
    </w:p>
    <w:p w14:paraId="40004A98" w14:textId="77777777" w:rsidR="00426A6F" w:rsidRPr="00426A6F" w:rsidRDefault="00426A6F" w:rsidP="00426A6F">
      <w:pPr>
        <w:keepNext/>
        <w:keepLines/>
        <w:spacing w:before="40" w:after="0"/>
        <w:jc w:val="both"/>
        <w:outlineLvl w:val="1"/>
        <w:rPr>
          <w:rFonts w:ascii="Cambria" w:eastAsia="Times New Roman" w:hAnsi="Cambria" w:cs="Times New Roman"/>
          <w:b/>
          <w:bCs/>
          <w:color w:val="000000"/>
          <w:sz w:val="26"/>
          <w:szCs w:val="26"/>
        </w:rPr>
      </w:pPr>
      <w:bookmarkStart w:id="40" w:name="_Toc422744761"/>
      <w:r w:rsidRPr="00426A6F">
        <w:rPr>
          <w:rFonts w:ascii="Cambria" w:eastAsia="Times New Roman" w:hAnsi="Cambria" w:cs="Times New Roman"/>
          <w:b/>
          <w:bCs/>
          <w:color w:val="4F81BD"/>
          <w:sz w:val="26"/>
          <w:szCs w:val="26"/>
        </w:rPr>
        <w:t>4.5 Conclusions and recommendations</w:t>
      </w:r>
      <w:bookmarkEnd w:id="40"/>
      <w:r w:rsidRPr="00426A6F">
        <w:rPr>
          <w:rFonts w:ascii="Cambria" w:eastAsia="Times New Roman" w:hAnsi="Cambria" w:cs="Times New Roman"/>
          <w:b/>
          <w:bCs/>
          <w:color w:val="4F81BD"/>
          <w:sz w:val="26"/>
          <w:szCs w:val="26"/>
        </w:rPr>
        <w:t xml:space="preserve"> </w:t>
      </w:r>
    </w:p>
    <w:p w14:paraId="663A71E6" w14:textId="77777777" w:rsidR="00426A6F" w:rsidRPr="00426A6F" w:rsidRDefault="00426A6F" w:rsidP="00426A6F">
      <w:pPr>
        <w:spacing w:before="240"/>
        <w:jc w:val="both"/>
        <w:rPr>
          <w:rFonts w:ascii="Garamond" w:hAnsi="Garamond"/>
          <w:color w:val="000000"/>
          <w:sz w:val="24"/>
          <w:szCs w:val="24"/>
        </w:rPr>
      </w:pPr>
      <w:r w:rsidRPr="00426A6F">
        <w:rPr>
          <w:b/>
        </w:rPr>
        <w:t xml:space="preserve">The Palestinian public pension system suffers from considerable challenges. </w:t>
      </w:r>
      <w:r w:rsidRPr="00426A6F">
        <w:t>Pension spending in the Palestinian territories, at 3 percent of GDP, is high in comparison to other countries with similar coverage ratios. The system is also highly fragmented, consisting of four schemes; two of which were inherited from Jordan and Egypt and another two created later. All schemes use high accrual rates which leads to high replacement rates. The system also offers early retirement options,</w:t>
      </w:r>
      <w:r w:rsidRPr="00426A6F">
        <w:rPr>
          <w:color w:val="000000"/>
        </w:rPr>
        <w:t xml:space="preserve"> sometimes at the age of 45. The</w:t>
      </w:r>
      <w:r w:rsidRPr="00426A6F">
        <w:t xml:space="preserve"> eligibility criteria are broad, hence a wide range of cases are entitled to survivorship and disability benefits, which places a significant fiscal burden on the system. Most importantly, the PA has accumulated considerable arrears to the pension system over the years, estimated at around US$</w:t>
      </w:r>
      <w:r w:rsidRPr="00426A6F">
        <w:rPr>
          <w:color w:val="000000"/>
        </w:rPr>
        <w:t>1.595 billion.</w:t>
      </w:r>
    </w:p>
    <w:p w14:paraId="6B3065BC" w14:textId="77777777" w:rsidR="00426A6F" w:rsidRPr="00426A6F" w:rsidRDefault="00426A6F" w:rsidP="00426A6F">
      <w:pPr>
        <w:jc w:val="both"/>
        <w:rPr>
          <w:b/>
        </w:rPr>
      </w:pPr>
      <w:r w:rsidRPr="00426A6F">
        <w:rPr>
          <w:b/>
        </w:rPr>
        <w:t xml:space="preserve">The system as currently designed and implemented is unsustainable, and urgently needs reform. </w:t>
      </w:r>
      <w:r w:rsidRPr="00426A6F">
        <w:t xml:space="preserve">According to World Bank estimates, if the status quo continues, </w:t>
      </w:r>
      <w:r w:rsidRPr="00426A6F">
        <w:rPr>
          <w:bCs/>
        </w:rPr>
        <w:t xml:space="preserve">the system is expected to run out of funding in 2021. If the PA stops the practice of accumulating arrears and starts making contributions to the PPA as required by the UPL, the onset of the deficit will be delayed by 10 years, to 2031. This is not enough to deal with the system’s structural problems; hence the need for a comprehensive program that focuses on parametric reforms. </w:t>
      </w:r>
    </w:p>
    <w:p w14:paraId="3ABBCDB1" w14:textId="77777777" w:rsidR="00426A6F" w:rsidRPr="00426A6F" w:rsidRDefault="00426A6F" w:rsidP="00426A6F">
      <w:pPr>
        <w:jc w:val="both"/>
        <w:rPr>
          <w:b/>
        </w:rPr>
      </w:pPr>
      <w:r w:rsidRPr="00426A6F">
        <w:rPr>
          <w:b/>
        </w:rPr>
        <w:t xml:space="preserve">Restoring the Palestinian pension system’s sustainability requires a mix of reforms and adjustments. </w:t>
      </w:r>
      <w:r w:rsidRPr="00426A6F">
        <w:t>Proposed reforms</w:t>
      </w:r>
      <w:r w:rsidRPr="00426A6F">
        <w:rPr>
          <w:b/>
        </w:rPr>
        <w:t xml:space="preserve"> </w:t>
      </w:r>
      <w:r w:rsidRPr="00426A6F">
        <w:t>could include raising the retirement age to 65 years, reducing the accrual rate</w:t>
      </w:r>
      <w:r w:rsidRPr="00426A6F">
        <w:rPr>
          <w:lang w:eastAsia="zh-CN"/>
        </w:rPr>
        <w:t xml:space="preserve"> of pension benefits to 1.5 percent, </w:t>
      </w:r>
      <w:r w:rsidRPr="00426A6F">
        <w:t xml:space="preserve">and indexing pensions to inflation, as simulations show that these three reforms together could delay the onset of the deficit to 2041. To improve the system’s long-term financial sustainability, it is highly recommended that the PPA consider the use of actuarially fair reduction coefficients for early retirement. A comprehensive pension reform program should also include </w:t>
      </w:r>
      <w:r w:rsidRPr="00426A6F">
        <w:lastRenderedPageBreak/>
        <w:t xml:space="preserve">adjustments to survivorship and disability benefits and should aim to limit or gradually eliminate the practice of purchasing years of service. Particularly for Scheme II, it is recommended that its funded DC component is changed to a PAYG-DB system, which will be easier to implement given the situation. </w:t>
      </w:r>
    </w:p>
    <w:p w14:paraId="51CEC475" w14:textId="77777777" w:rsidR="00426A6F" w:rsidRPr="00426A6F" w:rsidRDefault="00426A6F" w:rsidP="00426A6F">
      <w:pPr>
        <w:jc w:val="both"/>
      </w:pPr>
      <w:r w:rsidRPr="00426A6F">
        <w:rPr>
          <w:b/>
        </w:rPr>
        <w:t xml:space="preserve">Parametric reforms need to be implemented now to make use of resources generated by Scheme II, while it is still young. </w:t>
      </w:r>
      <w:r w:rsidRPr="00426A6F">
        <w:t xml:space="preserve">Since Scheme II is still young, it provides fiscal space that grants the PA a unique opportunity to fundamentally review the current design of the pension system and improve its sustainability and efficiency. As Scheme II matures and its surplus starts to decline, it will become more difficult to reform the overall system. </w:t>
      </w:r>
    </w:p>
    <w:p w14:paraId="0453AF73" w14:textId="77777777" w:rsidR="00426A6F" w:rsidRPr="00426A6F" w:rsidRDefault="00426A6F" w:rsidP="00426A6F">
      <w:pPr>
        <w:jc w:val="both"/>
      </w:pPr>
      <w:r w:rsidRPr="00426A6F">
        <w:rPr>
          <w:b/>
        </w:rPr>
        <w:t>Policy makers need to be aware of the fiscal, welfare, and behavioral implications of the chosen reform program</w:t>
      </w:r>
      <w:r w:rsidRPr="00426A6F">
        <w:t>.</w:t>
      </w:r>
      <w:r w:rsidRPr="00426A6F">
        <w:rPr>
          <w:b/>
        </w:rPr>
        <w:t xml:space="preserve"> </w:t>
      </w:r>
      <w:r w:rsidRPr="00426A6F">
        <w:t>The diversity of potential reform packages is considerably high, and no single optimal solution exists. Specific measures should be considered as part of an integrated strategy that also considers social impact. In the Palestinian context, it is recommended, for instance, that reform measures are applied gradually to avoid reducing the pensions of those closer to retirement age.</w:t>
      </w:r>
    </w:p>
    <w:p w14:paraId="197E7452" w14:textId="77777777" w:rsidR="00DB407F" w:rsidRDefault="00DB407F"/>
    <w:sectPr w:rsidR="00DB407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E0A78" w14:textId="77777777" w:rsidR="001F5290" w:rsidRDefault="001F5290" w:rsidP="00426A6F">
      <w:pPr>
        <w:spacing w:after="0" w:line="240" w:lineRule="auto"/>
      </w:pPr>
      <w:r>
        <w:separator/>
      </w:r>
    </w:p>
  </w:endnote>
  <w:endnote w:type="continuationSeparator" w:id="0">
    <w:p w14:paraId="39F5B63D" w14:textId="77777777" w:rsidR="001F5290" w:rsidRDefault="001F5290" w:rsidP="00426A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Lucida Grande">
    <w:altName w:val="Arial"/>
    <w:charset w:val="00"/>
    <w:family w:val="auto"/>
    <w:pitch w:val="variable"/>
    <w:sig w:usb0="E1000AEF" w:usb1="5000A1FF" w:usb2="00000000" w:usb3="00000000" w:csb0="000001BF" w:csb1="00000000"/>
  </w:font>
  <w:font w:name="Traditional Arabic">
    <w:charset w:val="B2"/>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altName w:val="Cambria"/>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61A02" w14:textId="77777777" w:rsidR="001F5290" w:rsidRDefault="001F5290" w:rsidP="00426A6F">
      <w:pPr>
        <w:spacing w:after="0" w:line="240" w:lineRule="auto"/>
      </w:pPr>
      <w:r>
        <w:separator/>
      </w:r>
    </w:p>
  </w:footnote>
  <w:footnote w:type="continuationSeparator" w:id="0">
    <w:p w14:paraId="63C0A41A" w14:textId="77777777" w:rsidR="001F5290" w:rsidRDefault="001F5290" w:rsidP="00426A6F">
      <w:pPr>
        <w:spacing w:after="0" w:line="240" w:lineRule="auto"/>
      </w:pPr>
      <w:r>
        <w:continuationSeparator/>
      </w:r>
    </w:p>
  </w:footnote>
  <w:footnote w:id="1">
    <w:p w14:paraId="0EC5EEBD" w14:textId="77777777" w:rsidR="00DF20A2" w:rsidRPr="00E660E3" w:rsidRDefault="00DF20A2" w:rsidP="00426A6F">
      <w:pPr>
        <w:pStyle w:val="FootnoteText"/>
      </w:pPr>
      <w:r w:rsidRPr="00E660E3">
        <w:rPr>
          <w:rStyle w:val="FootnoteReference"/>
          <w:sz w:val="16"/>
          <w:szCs w:val="16"/>
        </w:rPr>
        <w:footnoteRef/>
      </w:r>
      <w:r w:rsidRPr="00E660E3">
        <w:t xml:space="preserve"> Based on December 2013 data (the amount includes regular and lump-sum payments).</w:t>
      </w:r>
    </w:p>
  </w:footnote>
  <w:footnote w:id="2">
    <w:p w14:paraId="5A648653" w14:textId="77777777" w:rsidR="00DF20A2" w:rsidRPr="00E660E3" w:rsidRDefault="00DF20A2" w:rsidP="00426A6F">
      <w:pPr>
        <w:pStyle w:val="FootnoteText"/>
      </w:pPr>
      <w:r w:rsidRPr="00E660E3">
        <w:rPr>
          <w:rStyle w:val="FootnoteReference"/>
          <w:sz w:val="16"/>
          <w:szCs w:val="16"/>
        </w:rPr>
        <w:footnoteRef/>
      </w:r>
      <w:r>
        <w:t xml:space="preserve"> </w:t>
      </w:r>
      <w:r w:rsidRPr="00E660E3">
        <w:t xml:space="preserve">Estimated GDP in 2013 was </w:t>
      </w:r>
      <w:r>
        <w:t xml:space="preserve">NIS </w:t>
      </w:r>
      <w:r w:rsidRPr="00E660E3">
        <w:t>40.72 billion.</w:t>
      </w:r>
    </w:p>
  </w:footnote>
  <w:footnote w:id="3">
    <w:p w14:paraId="5D820ACC" w14:textId="77777777" w:rsidR="00DF20A2" w:rsidRPr="00E660E3" w:rsidRDefault="00DF20A2" w:rsidP="00426A6F">
      <w:pPr>
        <w:pStyle w:val="FootnoteText"/>
      </w:pPr>
      <w:r w:rsidRPr="00E660E3">
        <w:rPr>
          <w:rStyle w:val="FootnoteReference"/>
          <w:sz w:val="16"/>
          <w:szCs w:val="16"/>
        </w:rPr>
        <w:footnoteRef/>
      </w:r>
      <w:r w:rsidRPr="00E660E3">
        <w:t xml:space="preserve"> See </w:t>
      </w:r>
      <w:r w:rsidRPr="00013E7E">
        <w:t>Annex IV fo</w:t>
      </w:r>
      <w:r w:rsidRPr="00E660E3">
        <w:t>r an overview of generally accepted principles of a well-designed (or reformed) pension system, developed based on international best practices.</w:t>
      </w:r>
      <w:r>
        <w:t xml:space="preserve"> </w:t>
      </w:r>
    </w:p>
  </w:footnote>
  <w:footnote w:id="4">
    <w:p w14:paraId="60E51C7C" w14:textId="77777777" w:rsidR="00DF20A2" w:rsidRPr="00E660E3" w:rsidRDefault="00DF20A2" w:rsidP="00426A6F">
      <w:pPr>
        <w:pStyle w:val="FootnoteText"/>
      </w:pPr>
      <w:r w:rsidRPr="00E660E3">
        <w:rPr>
          <w:rStyle w:val="FootnoteReference"/>
          <w:sz w:val="16"/>
          <w:szCs w:val="16"/>
        </w:rPr>
        <w:footnoteRef/>
      </w:r>
      <w:r w:rsidRPr="00E660E3">
        <w:t xml:space="preserve"> </w:t>
      </w:r>
      <w:r w:rsidRPr="008D3801">
        <w:t xml:space="preserve">The first </w:t>
      </w:r>
      <w:r>
        <w:t xml:space="preserve">NGO </w:t>
      </w:r>
      <w:r w:rsidRPr="008D3801">
        <w:t xml:space="preserve">joined the pension system in October 2011. By the end of 2013, </w:t>
      </w:r>
      <w:r>
        <w:t>38</w:t>
      </w:r>
      <w:r w:rsidRPr="008D3801">
        <w:t xml:space="preserve"> </w:t>
      </w:r>
      <w:r>
        <w:t xml:space="preserve">NGOs had </w:t>
      </w:r>
      <w:r w:rsidRPr="008D3801">
        <w:t>joined the pension scheme</w:t>
      </w:r>
      <w:r w:rsidRPr="007324CC">
        <w:t xml:space="preserve">. Low coverage in the private sector is mostly due to high informality, unemployment, and under-employment resulting from the restrictions imposed by the </w:t>
      </w:r>
      <w:proofErr w:type="spellStart"/>
      <w:r w:rsidRPr="007324CC">
        <w:t>G</w:t>
      </w:r>
      <w:r w:rsidRPr="00EE74DF">
        <w:t>oI</w:t>
      </w:r>
      <w:proofErr w:type="spellEnd"/>
      <w:r w:rsidRPr="00EE74DF">
        <w:t xml:space="preserve"> on private sector activity.</w:t>
      </w:r>
    </w:p>
  </w:footnote>
  <w:footnote w:id="5">
    <w:p w14:paraId="50829BDC" w14:textId="77777777" w:rsidR="00DF20A2" w:rsidRPr="00E660E3" w:rsidRDefault="00DF20A2" w:rsidP="00426A6F">
      <w:pPr>
        <w:pStyle w:val="FootnoteText"/>
      </w:pPr>
      <w:r w:rsidRPr="00E660E3">
        <w:rPr>
          <w:rStyle w:val="FootnoteReference"/>
          <w:sz w:val="16"/>
          <w:szCs w:val="16"/>
        </w:rPr>
        <w:footnoteRef/>
      </w:r>
      <w:r w:rsidRPr="00E660E3">
        <w:t xml:space="preserve"> The preparation of this draft law was done through an Institutional Development Grant (IDG) funded by the World Bank.</w:t>
      </w:r>
    </w:p>
  </w:footnote>
  <w:footnote w:id="6">
    <w:p w14:paraId="3DA22675" w14:textId="77777777" w:rsidR="00DF20A2" w:rsidRPr="00E660E3" w:rsidRDefault="00DF20A2" w:rsidP="00426A6F">
      <w:pPr>
        <w:pStyle w:val="FootnoteText"/>
      </w:pPr>
      <w:r w:rsidRPr="00E660E3">
        <w:rPr>
          <w:rStyle w:val="FootnoteReference"/>
          <w:sz w:val="16"/>
          <w:szCs w:val="16"/>
        </w:rPr>
        <w:footnoteRef/>
      </w:r>
      <w:r w:rsidRPr="00E660E3">
        <w:t xml:space="preserve"> This scheme was designed to have two pillars: a DB and a funded D</w:t>
      </w:r>
      <w:r>
        <w:t>C</w:t>
      </w:r>
      <w:r w:rsidRPr="00E660E3">
        <w:t xml:space="preserve"> but the latter pillar was never put in place. In 2011, the Cabinet adopted an action plan to reform the pension system which required the DC component of Scheme II to be modified to introduce Notional Accounts instead. However, there has been no progress in this regard, and given the complexity of this type of scheme, it is recommended that the switch is made to a PAYG</w:t>
      </w:r>
      <w:r>
        <w:t>-DB</w:t>
      </w:r>
      <w:r w:rsidRPr="00E660E3">
        <w:t xml:space="preserve"> system. </w:t>
      </w:r>
    </w:p>
  </w:footnote>
  <w:footnote w:id="7">
    <w:p w14:paraId="10AA20B0" w14:textId="77777777" w:rsidR="00DF20A2" w:rsidRPr="00E660E3" w:rsidRDefault="00DF20A2" w:rsidP="00426A6F">
      <w:pPr>
        <w:pStyle w:val="FootnoteText"/>
      </w:pPr>
      <w:r w:rsidRPr="00E660E3">
        <w:rPr>
          <w:rStyle w:val="FootnoteReference"/>
          <w:sz w:val="16"/>
          <w:szCs w:val="16"/>
        </w:rPr>
        <w:footnoteRef/>
      </w:r>
      <w:r w:rsidRPr="00E660E3">
        <w:t xml:space="preserve"> Eventually old-age beneficiaries will be dying faster than survivorship beneficiaries. </w:t>
      </w:r>
    </w:p>
  </w:footnote>
  <w:footnote w:id="8">
    <w:p w14:paraId="69B4ACAB" w14:textId="77777777" w:rsidR="00DF20A2" w:rsidRPr="00E660E3" w:rsidRDefault="00DF20A2" w:rsidP="00426A6F">
      <w:pPr>
        <w:pStyle w:val="FootnoteText"/>
      </w:pPr>
      <w:r w:rsidRPr="00E660E3">
        <w:rPr>
          <w:rStyle w:val="FootnoteReference"/>
          <w:sz w:val="16"/>
          <w:szCs w:val="16"/>
        </w:rPr>
        <w:footnoteRef/>
      </w:r>
      <w:r w:rsidRPr="00E660E3">
        <w:t xml:space="preserve"> Most contributors have not yet reached retirement age, however there are already survivors from active contributors.</w:t>
      </w:r>
    </w:p>
  </w:footnote>
  <w:footnote w:id="9">
    <w:p w14:paraId="535106D1" w14:textId="77777777" w:rsidR="00DF20A2" w:rsidRPr="00E660E3" w:rsidRDefault="00DF20A2" w:rsidP="00426A6F">
      <w:pPr>
        <w:pStyle w:val="FootnoteText"/>
      </w:pPr>
      <w:r w:rsidRPr="00E660E3">
        <w:rPr>
          <w:rStyle w:val="FootnoteReference"/>
          <w:sz w:val="16"/>
          <w:szCs w:val="16"/>
        </w:rPr>
        <w:footnoteRef/>
      </w:r>
      <w:r w:rsidRPr="00E660E3">
        <w:t xml:space="preserve"> </w:t>
      </w:r>
      <w:r>
        <w:t>The Palestinian Pension Authority (PPA)</w:t>
      </w:r>
      <w:r w:rsidRPr="00E660E3">
        <w:t xml:space="preserve"> has been reevaluating these conditions, particularly the third one, expecting to further decrease the number of disability beneficiaries. </w:t>
      </w:r>
    </w:p>
  </w:footnote>
  <w:footnote w:id="10">
    <w:p w14:paraId="667F72F0" w14:textId="77777777" w:rsidR="00DF20A2" w:rsidRPr="00E660E3" w:rsidRDefault="00DF20A2" w:rsidP="00426A6F">
      <w:pPr>
        <w:pStyle w:val="FootnoteText"/>
      </w:pPr>
      <w:r w:rsidRPr="00E660E3">
        <w:rPr>
          <w:rStyle w:val="FootnoteReference"/>
          <w:sz w:val="16"/>
          <w:szCs w:val="16"/>
        </w:rPr>
        <w:footnoteRef/>
      </w:r>
      <w:r w:rsidRPr="00E660E3">
        <w:t xml:space="preserve"> Data for </w:t>
      </w:r>
      <w:r>
        <w:t>Scheme I</w:t>
      </w:r>
      <w:r w:rsidRPr="00E660E3">
        <w:t xml:space="preserve">V </w:t>
      </w:r>
      <w:r>
        <w:t>were</w:t>
      </w:r>
      <w:r w:rsidRPr="00E660E3">
        <w:t xml:space="preserve"> not available for the reporting period. </w:t>
      </w:r>
    </w:p>
  </w:footnote>
  <w:footnote w:id="11">
    <w:p w14:paraId="42695A6C" w14:textId="77777777" w:rsidR="00DF20A2" w:rsidRPr="00E660E3" w:rsidRDefault="00DF20A2" w:rsidP="00426A6F">
      <w:pPr>
        <w:pStyle w:val="FootnoteText"/>
      </w:pPr>
      <w:r w:rsidRPr="00E660E3">
        <w:rPr>
          <w:rStyle w:val="FootnoteReference"/>
          <w:sz w:val="16"/>
          <w:szCs w:val="16"/>
        </w:rPr>
        <w:footnoteRef/>
      </w:r>
      <w:r w:rsidRPr="00E660E3">
        <w:t xml:space="preserve"> In 2013</w:t>
      </w:r>
      <w:r>
        <w:t>,</w:t>
      </w:r>
      <w:r w:rsidRPr="00E660E3">
        <w:t xml:space="preserve"> the annual payments for regular pensions for </w:t>
      </w:r>
      <w:r>
        <w:t>S</w:t>
      </w:r>
      <w:r w:rsidRPr="00E660E3">
        <w:t xml:space="preserve">chemes I, II, and III amounted to </w:t>
      </w:r>
      <w:r>
        <w:t xml:space="preserve">NIS </w:t>
      </w:r>
      <w:r w:rsidRPr="00E660E3">
        <w:t xml:space="preserve">650 million, while the lump-sum payments were </w:t>
      </w:r>
      <w:r>
        <w:t xml:space="preserve">NIS </w:t>
      </w:r>
      <w:r w:rsidRPr="00E660E3">
        <w:t xml:space="preserve">44 million. </w:t>
      </w:r>
    </w:p>
  </w:footnote>
  <w:footnote w:id="12">
    <w:p w14:paraId="5EBEB707" w14:textId="77777777" w:rsidR="00DF20A2" w:rsidRPr="00E660E3" w:rsidRDefault="00DF20A2" w:rsidP="00426A6F">
      <w:pPr>
        <w:pStyle w:val="FootnoteText"/>
      </w:pPr>
      <w:r w:rsidRPr="00E660E3">
        <w:rPr>
          <w:rStyle w:val="FootnoteReference"/>
          <w:sz w:val="16"/>
          <w:szCs w:val="16"/>
        </w:rPr>
        <w:footnoteRef/>
      </w:r>
      <w:r w:rsidRPr="00E660E3">
        <w:t xml:space="preserve"> According to the UPL enacted in 2005, all pension schemes should be centralized in the PPA.</w:t>
      </w:r>
      <w:r>
        <w:t xml:space="preserve"> </w:t>
      </w:r>
      <w:r w:rsidRPr="00E660E3">
        <w:t xml:space="preserve">Centralization has been improved, but there are still a few constraints. The main </w:t>
      </w:r>
      <w:r>
        <w:t>ongoing</w:t>
      </w:r>
      <w:r w:rsidRPr="00E660E3">
        <w:t xml:space="preserve"> challenge with the accounting systems of all pension schemes is that in practice the PA transfers to the PPA less than what is required by the UPL. The differences between the legal and actual contributions are summarized in </w:t>
      </w:r>
      <w:r>
        <w:fldChar w:fldCharType="begin"/>
      </w:r>
      <w:r>
        <w:instrText xml:space="preserve"> REF _Ref422156573 \h </w:instrText>
      </w:r>
      <w:r>
        <w:fldChar w:fldCharType="separate"/>
      </w:r>
      <w:r w:rsidRPr="008D3801">
        <w:t xml:space="preserve">Table </w:t>
      </w:r>
      <w:r>
        <w:rPr>
          <w:noProof/>
        </w:rPr>
        <w:t>22</w:t>
      </w:r>
      <w:r>
        <w:fldChar w:fldCharType="end"/>
      </w:r>
      <w:r>
        <w:t xml:space="preserve"> and </w:t>
      </w:r>
      <w:r>
        <w:fldChar w:fldCharType="begin"/>
      </w:r>
      <w:r>
        <w:instrText xml:space="preserve"> REF _Ref422156575 \h </w:instrText>
      </w:r>
      <w:r>
        <w:fldChar w:fldCharType="separate"/>
      </w:r>
      <w:r w:rsidRPr="008D3801">
        <w:t xml:space="preserve">Table </w:t>
      </w:r>
      <w:r>
        <w:rPr>
          <w:noProof/>
        </w:rPr>
        <w:t>23</w:t>
      </w:r>
      <w:r>
        <w:fldChar w:fldCharType="end"/>
      </w:r>
      <w:r w:rsidRPr="00E660E3">
        <w:t>.</w:t>
      </w:r>
    </w:p>
  </w:footnote>
  <w:footnote w:id="13">
    <w:p w14:paraId="5580608F" w14:textId="77777777" w:rsidR="00DF20A2" w:rsidRPr="00E660E3" w:rsidRDefault="00DF20A2" w:rsidP="00426A6F">
      <w:pPr>
        <w:pStyle w:val="FootnoteText"/>
      </w:pPr>
      <w:r w:rsidRPr="00E660E3">
        <w:rPr>
          <w:rStyle w:val="FootnoteReference"/>
          <w:sz w:val="16"/>
          <w:szCs w:val="16"/>
        </w:rPr>
        <w:footnoteRef/>
      </w:r>
      <w:r w:rsidRPr="00E660E3">
        <w:t xml:space="preserve"> A joint committee that includes members from the MoF and the PPA was set up a few years ago to calculate the total amount of arrears owed to the pension system. The committee has so far focused its work on civil servant schemes and it plans to expand its work to include the security services schemes soon. </w:t>
      </w:r>
    </w:p>
  </w:footnote>
  <w:footnote w:id="14">
    <w:p w14:paraId="39051FB2" w14:textId="77777777" w:rsidR="00DF20A2" w:rsidRPr="00E660E3" w:rsidRDefault="00DF20A2" w:rsidP="00426A6F">
      <w:pPr>
        <w:pStyle w:val="FootnoteText"/>
      </w:pPr>
      <w:r w:rsidRPr="00E660E3">
        <w:rPr>
          <w:rStyle w:val="FootnoteReference"/>
          <w:sz w:val="16"/>
          <w:szCs w:val="16"/>
        </w:rPr>
        <w:footnoteRef/>
      </w:r>
      <w:r w:rsidRPr="00E660E3">
        <w:t xml:space="preserve"> Projections assume annual public employment growth to be 2 percent since this has been the trend during the last few years.</w:t>
      </w:r>
      <w:r>
        <w:t xml:space="preserve"> </w:t>
      </w:r>
      <w:r w:rsidRPr="00E660E3">
        <w:t>It also assumes a slight increase in private sector coverage.</w:t>
      </w:r>
    </w:p>
  </w:footnote>
  <w:footnote w:id="15">
    <w:p w14:paraId="149DD006" w14:textId="77777777" w:rsidR="00DF20A2" w:rsidRPr="00E660E3" w:rsidRDefault="00DF20A2" w:rsidP="00426A6F">
      <w:pPr>
        <w:pStyle w:val="FootnoteText"/>
      </w:pPr>
      <w:r w:rsidRPr="00E660E3">
        <w:rPr>
          <w:rStyle w:val="FootnoteReference"/>
          <w:sz w:val="16"/>
          <w:szCs w:val="16"/>
        </w:rPr>
        <w:footnoteRef/>
      </w:r>
      <w:r w:rsidRPr="00E660E3">
        <w:t xml:space="preserve"> Given the complexity of this type of scheme, it is recommended that a switch is made to a PAYG-DB system.</w:t>
      </w:r>
      <w:r>
        <w:t xml:space="preserve"> </w:t>
      </w:r>
    </w:p>
  </w:footnote>
  <w:footnote w:id="16">
    <w:p w14:paraId="0542404A" w14:textId="77777777" w:rsidR="00DF20A2" w:rsidRPr="00E660E3" w:rsidRDefault="00DF20A2" w:rsidP="00426A6F">
      <w:pPr>
        <w:pStyle w:val="FootnoteText"/>
      </w:pPr>
      <w:r w:rsidRPr="00E660E3">
        <w:rPr>
          <w:rStyle w:val="FootnoteReference"/>
          <w:sz w:val="16"/>
          <w:szCs w:val="16"/>
        </w:rPr>
        <w:footnoteRef/>
      </w:r>
      <w:r w:rsidRPr="00E660E3">
        <w:t xml:space="preserve"> Please s</w:t>
      </w:r>
      <w:r w:rsidRPr="00013E7E">
        <w:t xml:space="preserve">ee Annex </w:t>
      </w:r>
      <w:r w:rsidRPr="00E62AAB">
        <w:t>VI</w:t>
      </w:r>
      <w:r w:rsidRPr="00E660E3">
        <w:t xml:space="preserve"> for some guidelines on the financial stability of a pension system.</w:t>
      </w:r>
    </w:p>
  </w:footnote>
  <w:footnote w:id="17">
    <w:p w14:paraId="59A8FCA5" w14:textId="77777777" w:rsidR="00DF20A2" w:rsidRPr="00E660E3" w:rsidRDefault="00DF20A2" w:rsidP="00426A6F">
      <w:pPr>
        <w:pStyle w:val="FootnoteText"/>
      </w:pPr>
      <w:r w:rsidRPr="00E660E3">
        <w:rPr>
          <w:rStyle w:val="FootnoteReference"/>
          <w:sz w:val="16"/>
          <w:szCs w:val="16"/>
        </w:rPr>
        <w:footnoteRef/>
      </w:r>
      <w:r w:rsidRPr="00E660E3">
        <w:t xml:space="preserve"> Accrual rate is the rate at which a beneficiary builds up his/her pension benefits while a member of a </w:t>
      </w:r>
      <w:r>
        <w:t xml:space="preserve">DB </w:t>
      </w:r>
      <w:r w:rsidRPr="00E660E3">
        <w:t>scheme. The rate is multiplied by earnings to calculate how much money the beneficiary will eventually be entitled to. It is typically expressed as a fraction, and the bigger the fraction</w:t>
      </w:r>
      <w:r>
        <w:t>,</w:t>
      </w:r>
      <w:r w:rsidRPr="00E660E3">
        <w:t xml:space="preserve"> the more pension benefit the beneficiary will get.</w:t>
      </w:r>
    </w:p>
  </w:footnote>
  <w:footnote w:id="18">
    <w:p w14:paraId="42F134C3" w14:textId="77777777" w:rsidR="00DF20A2" w:rsidRPr="00E660E3" w:rsidRDefault="00DF20A2" w:rsidP="00426A6F">
      <w:pPr>
        <w:pStyle w:val="FootnoteText"/>
      </w:pPr>
      <w:r w:rsidRPr="00E660E3">
        <w:rPr>
          <w:rStyle w:val="FootnoteReference"/>
          <w:sz w:val="16"/>
          <w:szCs w:val="16"/>
        </w:rPr>
        <w:footnoteRef/>
      </w:r>
      <w:r w:rsidRPr="00E660E3">
        <w:t xml:space="preserve"> Another reason that may explain this conclusion is related to the fact that the </w:t>
      </w:r>
      <w:r w:rsidRPr="00E660E3">
        <w:rPr>
          <w:lang w:eastAsia="zh-CN"/>
        </w:rPr>
        <w:t>benefit formula for Scheme II uses the last three years’ final salaries to calculate pension benefits, and as workers retire later in their careers, the salary base increases</w:t>
      </w:r>
      <w:r>
        <w:rPr>
          <w:lang w:eastAsia="zh-CN"/>
        </w:rPr>
        <w:t>,</w:t>
      </w:r>
      <w:r w:rsidRPr="00E660E3">
        <w:rPr>
          <w:lang w:eastAsia="zh-CN"/>
        </w:rPr>
        <w:t xml:space="preserve"> which pushes up pension expenditures.</w:t>
      </w:r>
      <w:r>
        <w:rPr>
          <w:lang w:eastAsia="zh-CN"/>
        </w:rPr>
        <w:t xml:space="preserve"> </w:t>
      </w:r>
      <w:r w:rsidRPr="00E660E3">
        <w:rPr>
          <w:lang w:eastAsia="zh-CN"/>
        </w:rPr>
        <w:t>This, however, could be avoided if the benefit formula is changed to include an individual’s lifetime average salary instead of the final three salaries, which would delay the occurrence of the deficit in Scheme II by three or four years.</w:t>
      </w:r>
    </w:p>
  </w:footnote>
  <w:footnote w:id="19">
    <w:p w14:paraId="3A81E91E" w14:textId="77777777" w:rsidR="00DF20A2" w:rsidRPr="00E660E3" w:rsidRDefault="00DF20A2" w:rsidP="00426A6F">
      <w:pPr>
        <w:pStyle w:val="FootnoteText"/>
      </w:pPr>
      <w:r w:rsidRPr="00E660E3">
        <w:rPr>
          <w:rStyle w:val="FootnoteReference"/>
          <w:sz w:val="16"/>
          <w:szCs w:val="16"/>
        </w:rPr>
        <w:footnoteRef/>
      </w:r>
      <w:r w:rsidRPr="00E660E3">
        <w:t xml:space="preserve"> Notably, the evolution of reserves was not considered in the analysis. This, however, can be an important source of financing for the structural imbalance of Scheme II, particularly if the MoF is expected to pay down part of the arrears it owes the PPA. Also, including investment returns in the analysis shows that the inherent deficits of the system can certainly be delayed for a few more years.</w:t>
      </w:r>
    </w:p>
  </w:footnote>
  <w:footnote w:id="20">
    <w:p w14:paraId="24D8FA4B" w14:textId="77777777" w:rsidR="00DF20A2" w:rsidRPr="00E660E3" w:rsidRDefault="00DF20A2" w:rsidP="00426A6F">
      <w:pPr>
        <w:pStyle w:val="FootnoteText"/>
      </w:pPr>
      <w:r w:rsidRPr="00E660E3">
        <w:rPr>
          <w:rStyle w:val="FootnoteReference"/>
          <w:sz w:val="16"/>
          <w:szCs w:val="16"/>
        </w:rPr>
        <w:footnoteRef/>
      </w:r>
      <w:r w:rsidRPr="00E660E3">
        <w:t xml:space="preserve"> Please se</w:t>
      </w:r>
      <w:r w:rsidRPr="00013E7E">
        <w:t xml:space="preserve">e Annex </w:t>
      </w:r>
      <w:r w:rsidRPr="00FB04FA">
        <w:t>VII</w:t>
      </w:r>
      <w:r w:rsidRPr="00E62AAB">
        <w:t xml:space="preserve"> </w:t>
      </w:r>
      <w:r w:rsidRPr="00A06168">
        <w:t>f</w:t>
      </w:r>
      <w:r w:rsidRPr="00E660E3">
        <w:t>or an overview of survivorship programs.</w:t>
      </w:r>
    </w:p>
  </w:footnote>
  <w:footnote w:id="21">
    <w:p w14:paraId="3306D348" w14:textId="77777777" w:rsidR="00DF20A2" w:rsidRPr="00E660E3" w:rsidRDefault="00DF20A2" w:rsidP="00426A6F">
      <w:pPr>
        <w:pStyle w:val="FootnoteText"/>
      </w:pPr>
      <w:r w:rsidRPr="00E660E3">
        <w:rPr>
          <w:rStyle w:val="FootnoteReference"/>
          <w:sz w:val="16"/>
          <w:szCs w:val="16"/>
        </w:rPr>
        <w:footnoteRef/>
      </w:r>
      <w:r w:rsidRPr="00E660E3">
        <w:t xml:space="preserve"> The number of private sector and non-governmental employees covered by the pension system increased from 3,054 in December 2013 to 3,350 in September 2014. At the same time, the number of beneficiaries increased from 4 to 31, particularly because of the survivorship pensions (26 survivorship pensioners, and 5 old-age pensioners).</w:t>
      </w:r>
    </w:p>
  </w:footnote>
  <w:footnote w:id="22">
    <w:p w14:paraId="27E4484D" w14:textId="77777777" w:rsidR="00DF20A2" w:rsidRPr="00E660E3" w:rsidRDefault="00DF20A2" w:rsidP="00426A6F">
      <w:pPr>
        <w:pStyle w:val="FootnoteText"/>
      </w:pPr>
      <w:r w:rsidRPr="00E660E3">
        <w:rPr>
          <w:rStyle w:val="FootnoteReference"/>
          <w:sz w:val="16"/>
          <w:szCs w:val="16"/>
        </w:rPr>
        <w:footnoteRef/>
      </w:r>
      <w:r w:rsidRPr="00E660E3">
        <w:t xml:space="preserve"> Please see </w:t>
      </w:r>
      <w:r w:rsidRPr="006C2C81">
        <w:t>box 3</w:t>
      </w:r>
      <w:r w:rsidRPr="00E660E3">
        <w:t xml:space="preserve"> for details on the </w:t>
      </w:r>
      <w:r>
        <w:t xml:space="preserve">2011 </w:t>
      </w:r>
      <w:r w:rsidRPr="00E660E3">
        <w:t xml:space="preserve">Pension </w:t>
      </w:r>
      <w:r>
        <w:t>R</w:t>
      </w:r>
      <w:r w:rsidRPr="00E660E3">
        <w:t>eform Action Plan.</w:t>
      </w:r>
    </w:p>
  </w:footnote>
  <w:footnote w:id="23">
    <w:p w14:paraId="7BB66EF6" w14:textId="77777777" w:rsidR="00DF20A2" w:rsidRPr="00E660E3" w:rsidRDefault="00DF20A2" w:rsidP="00426A6F">
      <w:pPr>
        <w:pStyle w:val="FootnoteText"/>
      </w:pPr>
      <w:r w:rsidRPr="00E660E3">
        <w:rPr>
          <w:rStyle w:val="FootnoteReference"/>
          <w:sz w:val="16"/>
          <w:szCs w:val="16"/>
        </w:rPr>
        <w:footnoteRef/>
      </w:r>
      <w:r w:rsidRPr="00E660E3">
        <w:t xml:space="preserve"> Data available show that 38,552 civil servants and blue uniform security personnel</w:t>
      </w:r>
      <w:r>
        <w:t xml:space="preserve"> were</w:t>
      </w:r>
      <w:r w:rsidRPr="00E660E3">
        <w:t xml:space="preserve"> hired by Hamas. Calculations in </w:t>
      </w:r>
      <w:r>
        <w:fldChar w:fldCharType="begin"/>
      </w:r>
      <w:r>
        <w:instrText xml:space="preserve"> REF _Ref422158210 \h </w:instrText>
      </w:r>
      <w:r>
        <w:fldChar w:fldCharType="separate"/>
      </w:r>
      <w:r w:rsidRPr="008D3801">
        <w:t xml:space="preserve">Table </w:t>
      </w:r>
      <w:r>
        <w:rPr>
          <w:noProof/>
        </w:rPr>
        <w:t>28</w:t>
      </w:r>
      <w:r>
        <w:fldChar w:fldCharType="end"/>
      </w:r>
      <w:r w:rsidRPr="00E660E3">
        <w:t xml:space="preserve"> were made based on this figure and do not include green uniform personnel</w:t>
      </w:r>
      <w:r>
        <w:t>,</w:t>
      </w:r>
      <w:r w:rsidRPr="00E660E3">
        <w:t xml:space="preserve"> whose </w:t>
      </w:r>
      <w:r>
        <w:t>data are</w:t>
      </w:r>
      <w:r w:rsidRPr="00E660E3">
        <w:t xml:space="preserve"> unavailable. If those were added, the financial impact could be considerably higher.</w:t>
      </w:r>
      <w:r>
        <w:t xml:space="preserve"> </w:t>
      </w:r>
    </w:p>
  </w:footnote>
  <w:footnote w:id="24">
    <w:p w14:paraId="20CBCE07" w14:textId="77777777" w:rsidR="00DF20A2" w:rsidRPr="00E660E3" w:rsidRDefault="00DF20A2" w:rsidP="00426A6F">
      <w:pPr>
        <w:pStyle w:val="FootnoteText"/>
      </w:pPr>
      <w:r w:rsidRPr="00E660E3">
        <w:rPr>
          <w:rStyle w:val="FootnoteReference"/>
          <w:sz w:val="16"/>
          <w:szCs w:val="16"/>
        </w:rPr>
        <w:footnoteRef/>
      </w:r>
      <w:r w:rsidRPr="00E660E3">
        <w:t xml:space="preserve"> Hamas employees in Gaza are covered from 2015 onwards with an average monthly wage of </w:t>
      </w:r>
      <w:r>
        <w:t xml:space="preserve">NIS </w:t>
      </w:r>
      <w:r w:rsidRPr="00E660E3">
        <w:t xml:space="preserve">2,628, and a monthly wage bill of </w:t>
      </w:r>
      <w:r>
        <w:t xml:space="preserve">NIS </w:t>
      </w:r>
      <w:r w:rsidRPr="00E660E3">
        <w:t>101,301,812.</w:t>
      </w:r>
    </w:p>
  </w:footnote>
  <w:footnote w:id="25">
    <w:p w14:paraId="45ABA35B" w14:textId="77777777" w:rsidR="00DF20A2" w:rsidRPr="00E660E3" w:rsidRDefault="00DF20A2" w:rsidP="00426A6F">
      <w:pPr>
        <w:pStyle w:val="FootnoteText"/>
      </w:pPr>
      <w:r w:rsidRPr="00E660E3">
        <w:rPr>
          <w:rStyle w:val="FootnoteReference"/>
          <w:sz w:val="16"/>
          <w:szCs w:val="16"/>
        </w:rPr>
        <w:footnoteRef/>
      </w:r>
      <w:r w:rsidRPr="00E660E3">
        <w:t xml:space="preserve"> Careful consideration should be given to these estimates since data on age/gender distribution of employees, income distribution, and other relevant information </w:t>
      </w:r>
      <w:r>
        <w:t>were</w:t>
      </w:r>
      <w:r w:rsidRPr="00E660E3">
        <w:t xml:space="preserve"> not provided.</w:t>
      </w:r>
      <w:r>
        <w:t xml:space="preserve"> </w:t>
      </w:r>
      <w:r w:rsidRPr="00E660E3">
        <w:t xml:space="preserve">Assumptions were made based on distributions from the currently covered employees, except for the length of service. </w:t>
      </w:r>
    </w:p>
  </w:footnote>
  <w:footnote w:id="26">
    <w:p w14:paraId="64A6B877" w14:textId="77777777" w:rsidR="00DF20A2" w:rsidRPr="00E660E3" w:rsidRDefault="00DF20A2" w:rsidP="00426A6F">
      <w:pPr>
        <w:pStyle w:val="FootnoteText"/>
      </w:pPr>
      <w:r w:rsidRPr="00E660E3">
        <w:rPr>
          <w:rStyle w:val="FootnoteReference"/>
          <w:sz w:val="16"/>
          <w:szCs w:val="16"/>
        </w:rPr>
        <w:footnoteRef/>
      </w:r>
      <w:r w:rsidRPr="00E660E3">
        <w:t xml:space="preserve"> Total pension expenditure includes both regular benefits and lump-sum payments.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36DB0"/>
    <w:multiLevelType w:val="multilevel"/>
    <w:tmpl w:val="79F2A88C"/>
    <w:lvl w:ilvl="0">
      <w:start w:val="1"/>
      <w:numFmt w:val="upperLetter"/>
      <w:lvlText w:val="%1."/>
      <w:lvlJc w:val="left"/>
      <w:pPr>
        <w:tabs>
          <w:tab w:val="num" w:pos="360"/>
        </w:tabs>
        <w:ind w:left="360" w:hanging="360"/>
      </w:pPr>
    </w:lvl>
    <w:lvl w:ilvl="1">
      <w:start w:val="1"/>
      <w:numFmt w:val="decimal"/>
      <w:lvlText w:val="%2."/>
      <w:lvlJc w:val="left"/>
      <w:pPr>
        <w:tabs>
          <w:tab w:val="num" w:pos="360"/>
        </w:tabs>
        <w:ind w:left="0" w:firstLine="0"/>
      </w:pPr>
      <w:rPr>
        <w:rFonts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18F6F2D"/>
    <w:multiLevelType w:val="multilevel"/>
    <w:tmpl w:val="53B6D97C"/>
    <w:lvl w:ilvl="0">
      <w:start w:val="1"/>
      <w:numFmt w:val="upperRoman"/>
      <w:pStyle w:val="PDSHeading1"/>
      <w:lvlText w:val="%1."/>
      <w:lvlJc w:val="center"/>
      <w:pPr>
        <w:tabs>
          <w:tab w:val="num" w:pos="0"/>
        </w:tabs>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PDSHeading2"/>
      <w:lvlText w:val="%2."/>
      <w:lvlJc w:val="left"/>
      <w:pPr>
        <w:tabs>
          <w:tab w:val="num" w:pos="360"/>
        </w:tabs>
        <w:ind w:left="0" w:firstLine="0"/>
      </w:pPr>
      <w:rPr>
        <w:rFonts w:hint="default"/>
      </w:rPr>
    </w:lvl>
    <w:lvl w:ilvl="2">
      <w:start w:val="1"/>
      <w:numFmt w:val="decimal"/>
      <w:lvlText w:val="%3."/>
      <w:lvlJc w:val="left"/>
      <w:pPr>
        <w:tabs>
          <w:tab w:val="num" w:pos="720"/>
        </w:tabs>
        <w:ind w:left="720" w:firstLine="0"/>
      </w:pPr>
      <w:rPr>
        <w:rFonts w:hint="default"/>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1A3003C"/>
    <w:multiLevelType w:val="hybridMultilevel"/>
    <w:tmpl w:val="B9B4C5CA"/>
    <w:lvl w:ilvl="0" w:tplc="04090001">
      <w:start w:val="1"/>
      <w:numFmt w:val="bullet"/>
      <w:lvlText w:val=""/>
      <w:lvlJc w:val="left"/>
      <w:pPr>
        <w:ind w:left="720" w:hanging="360"/>
      </w:pPr>
      <w:rPr>
        <w:rFonts w:ascii="Symbol" w:hAnsi="Symbol" w:hint="default"/>
      </w:rPr>
    </w:lvl>
    <w:lvl w:ilvl="1" w:tplc="80A6C2D2">
      <w:start w:val="1"/>
      <w:numFmt w:val="bullet"/>
      <w:pStyle w:val="sub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B296E"/>
    <w:multiLevelType w:val="multilevel"/>
    <w:tmpl w:val="305E0752"/>
    <w:lvl w:ilvl="0">
      <w:start w:val="1"/>
      <w:numFmt w:val="decimal"/>
      <w:lvlText w:val="%1."/>
      <w:lvlJc w:val="left"/>
      <w:pPr>
        <w:ind w:left="432" w:hanging="432"/>
      </w:pPr>
      <w:rPr>
        <w:rFonts w:hint="default"/>
      </w:rPr>
    </w:lvl>
    <w:lvl w:ilvl="1">
      <w:start w:val="1"/>
      <w:numFmt w:val="upperLetter"/>
      <w:lvlText w:val="%2."/>
      <w:lvlJc w:val="left"/>
      <w:pPr>
        <w:ind w:left="576" w:hanging="576"/>
      </w:pPr>
      <w:rPr>
        <w:rFonts w:hint="default"/>
      </w:rPr>
    </w:lvl>
    <w:lvl w:ilvl="2">
      <w:start w:val="1"/>
      <w:numFmt w:val="decimal"/>
      <w:lvlText w:val="%1.%3"/>
      <w:lvlJc w:val="left"/>
      <w:pPr>
        <w:ind w:left="720" w:hanging="720"/>
      </w:pPr>
      <w:rPr>
        <w:rFonts w:hint="default"/>
      </w:rPr>
    </w:lvl>
    <w:lvl w:ilvl="3">
      <w:start w:val="1"/>
      <w:numFmt w:val="decimal"/>
      <w:lvlText w:val="%1.%3.%4"/>
      <w:lvlJc w:val="left"/>
      <w:pPr>
        <w:ind w:left="864" w:hanging="864"/>
      </w:pPr>
      <w:rPr>
        <w:rFonts w:hint="default"/>
      </w:rPr>
    </w:lvl>
    <w:lvl w:ilvl="4">
      <w:start w:val="1"/>
      <w:numFmt w:val="decimal"/>
      <w:lvlText w:val="%1.%3.%4.%5"/>
      <w:lvlJc w:val="left"/>
      <w:pPr>
        <w:ind w:left="1008" w:hanging="1008"/>
      </w:pPr>
      <w:rPr>
        <w:rFonts w:hint="default"/>
      </w:rPr>
    </w:lvl>
    <w:lvl w:ilvl="5">
      <w:start w:val="1"/>
      <w:numFmt w:val="decimal"/>
      <w:lvlText w:val="%1.%3.%4.%5.%6"/>
      <w:lvlJc w:val="left"/>
      <w:pPr>
        <w:ind w:left="1152" w:hanging="1152"/>
      </w:pPr>
      <w:rPr>
        <w:rFonts w:hint="default"/>
      </w:rPr>
    </w:lvl>
    <w:lvl w:ilvl="6">
      <w:start w:val="1"/>
      <w:numFmt w:val="decimal"/>
      <w:lvlText w:val="%1.%3.%4.%5.%6.%7"/>
      <w:lvlJc w:val="left"/>
      <w:pPr>
        <w:ind w:left="1296" w:hanging="1296"/>
      </w:pPr>
      <w:rPr>
        <w:rFonts w:hint="default"/>
      </w:rPr>
    </w:lvl>
    <w:lvl w:ilvl="7">
      <w:start w:val="1"/>
      <w:numFmt w:val="decimal"/>
      <w:lvlText w:val="%1.%3.%4.%5.%6.%7.%8"/>
      <w:lvlJc w:val="left"/>
      <w:pPr>
        <w:ind w:left="1440" w:hanging="1440"/>
      </w:pPr>
      <w:rPr>
        <w:rFonts w:hint="default"/>
      </w:rPr>
    </w:lvl>
    <w:lvl w:ilvl="8">
      <w:start w:val="1"/>
      <w:numFmt w:val="decimal"/>
      <w:lvlText w:val="%9."/>
      <w:lvlJc w:val="left"/>
      <w:pPr>
        <w:ind w:left="1584" w:hanging="1584"/>
      </w:pPr>
      <w:rPr>
        <w:rFonts w:hint="default"/>
      </w:rPr>
    </w:lvl>
  </w:abstractNum>
  <w:abstractNum w:abstractNumId="4" w15:restartNumberingAfterBreak="0">
    <w:nsid w:val="0BFB5176"/>
    <w:multiLevelType w:val="hybridMultilevel"/>
    <w:tmpl w:val="11EAAE38"/>
    <w:lvl w:ilvl="0" w:tplc="0CFEC2CA">
      <w:start w:val="1"/>
      <w:numFmt w:val="decimal"/>
      <w:lvlText w:val="%1."/>
      <w:lvlJc w:val="left"/>
      <w:pPr>
        <w:ind w:left="720" w:hanging="360"/>
      </w:pPr>
      <w:rPr>
        <w:rFonts w:hint="default"/>
        <w:b w:val="0"/>
        <w:i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5E3D52"/>
    <w:multiLevelType w:val="multilevel"/>
    <w:tmpl w:val="320ED3A2"/>
    <w:lvl w:ilvl="0">
      <w:start w:val="1"/>
      <w:numFmt w:val="decimal"/>
      <w:lvlText w:val="%1."/>
      <w:lvlJc w:val="left"/>
      <w:pPr>
        <w:ind w:left="432" w:hanging="432"/>
      </w:pPr>
      <w:rPr>
        <w:rFonts w:hint="default"/>
      </w:rPr>
    </w:lvl>
    <w:lvl w:ilvl="1">
      <w:start w:val="1"/>
      <w:numFmt w:val="upperLetter"/>
      <w:lvlText w:val="%2."/>
      <w:lvlJc w:val="left"/>
      <w:pPr>
        <w:ind w:left="4829" w:hanging="576"/>
      </w:pPr>
      <w:rPr>
        <w:rFonts w:hint="default"/>
      </w:rPr>
    </w:lvl>
    <w:lvl w:ilvl="2">
      <w:start w:val="1"/>
      <w:numFmt w:val="decimal"/>
      <w:lvlText w:val="%1.%3"/>
      <w:lvlJc w:val="left"/>
      <w:pPr>
        <w:ind w:left="720" w:hanging="720"/>
      </w:pPr>
      <w:rPr>
        <w:rFonts w:hint="default"/>
      </w:rPr>
    </w:lvl>
    <w:lvl w:ilvl="3">
      <w:start w:val="1"/>
      <w:numFmt w:val="decimal"/>
      <w:lvlText w:val="%1.%3.%4"/>
      <w:lvlJc w:val="left"/>
      <w:pPr>
        <w:ind w:left="864" w:hanging="864"/>
      </w:pPr>
      <w:rPr>
        <w:rFonts w:hint="default"/>
      </w:rPr>
    </w:lvl>
    <w:lvl w:ilvl="4">
      <w:start w:val="1"/>
      <w:numFmt w:val="decimal"/>
      <w:lvlText w:val="%1.%3.%4.%5"/>
      <w:lvlJc w:val="left"/>
      <w:pPr>
        <w:ind w:left="1008" w:hanging="1008"/>
      </w:pPr>
      <w:rPr>
        <w:rFonts w:hint="default"/>
      </w:rPr>
    </w:lvl>
    <w:lvl w:ilvl="5">
      <w:start w:val="1"/>
      <w:numFmt w:val="decimal"/>
      <w:lvlText w:val="%1.%3.%4.%5.%6"/>
      <w:lvlJc w:val="left"/>
      <w:pPr>
        <w:ind w:left="1152" w:hanging="1152"/>
      </w:pPr>
      <w:rPr>
        <w:rFonts w:hint="default"/>
      </w:rPr>
    </w:lvl>
    <w:lvl w:ilvl="6">
      <w:start w:val="1"/>
      <w:numFmt w:val="decimal"/>
      <w:lvlText w:val="%1.%3.%4.%5.%6.%7"/>
      <w:lvlJc w:val="left"/>
      <w:pPr>
        <w:ind w:left="1296" w:hanging="1296"/>
      </w:pPr>
      <w:rPr>
        <w:rFonts w:hint="default"/>
      </w:rPr>
    </w:lvl>
    <w:lvl w:ilvl="7">
      <w:start w:val="1"/>
      <w:numFmt w:val="decimal"/>
      <w:lvlText w:val="%1.%3.%4.%5.%6.%7.%8"/>
      <w:lvlJc w:val="left"/>
      <w:pPr>
        <w:ind w:left="1440" w:hanging="1440"/>
      </w:pPr>
      <w:rPr>
        <w:rFonts w:hint="default"/>
      </w:rPr>
    </w:lvl>
    <w:lvl w:ilvl="8">
      <w:start w:val="1"/>
      <w:numFmt w:val="decimal"/>
      <w:lvlText w:val="%9."/>
      <w:lvlJc w:val="left"/>
      <w:pPr>
        <w:ind w:left="1584" w:hanging="1584"/>
      </w:pPr>
      <w:rPr>
        <w:rFonts w:hint="default"/>
      </w:rPr>
    </w:lvl>
  </w:abstractNum>
  <w:abstractNum w:abstractNumId="6" w15:restartNumberingAfterBreak="0">
    <w:nsid w:val="11C26A06"/>
    <w:multiLevelType w:val="singleLevel"/>
    <w:tmpl w:val="B8541AD8"/>
    <w:lvl w:ilvl="0">
      <w:start w:val="1"/>
      <w:numFmt w:val="bullet"/>
      <w:pStyle w:val="mk1txtb2"/>
      <w:lvlText w:val=""/>
      <w:lvlJc w:val="left"/>
      <w:pPr>
        <w:tabs>
          <w:tab w:val="num" w:pos="1512"/>
        </w:tabs>
        <w:ind w:left="1368" w:hanging="216"/>
      </w:pPr>
      <w:rPr>
        <w:rFonts w:ascii="Symbol" w:hAnsi="Symbol" w:hint="default"/>
      </w:rPr>
    </w:lvl>
  </w:abstractNum>
  <w:abstractNum w:abstractNumId="7" w15:restartNumberingAfterBreak="0">
    <w:nsid w:val="184677BD"/>
    <w:multiLevelType w:val="hybridMultilevel"/>
    <w:tmpl w:val="8A7661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A7D66C4"/>
    <w:multiLevelType w:val="singleLevel"/>
    <w:tmpl w:val="D5A6BE90"/>
    <w:lvl w:ilvl="0">
      <w:start w:val="1"/>
      <w:numFmt w:val="bullet"/>
      <w:pStyle w:val="mk1txtb3"/>
      <w:lvlText w:val=""/>
      <w:lvlJc w:val="left"/>
      <w:pPr>
        <w:tabs>
          <w:tab w:val="num" w:pos="2088"/>
        </w:tabs>
        <w:ind w:left="1944" w:hanging="216"/>
      </w:pPr>
      <w:rPr>
        <w:rFonts w:ascii="Symbol" w:hAnsi="Symbol" w:hint="default"/>
      </w:rPr>
    </w:lvl>
  </w:abstractNum>
  <w:abstractNum w:abstractNumId="9" w15:restartNumberingAfterBreak="0">
    <w:nsid w:val="1B4D1D03"/>
    <w:multiLevelType w:val="multilevel"/>
    <w:tmpl w:val="006ECB1C"/>
    <w:lvl w:ilvl="0">
      <w:start w:val="1"/>
      <w:numFmt w:val="decimal"/>
      <w:lvlText w:val="%1."/>
      <w:lvlJc w:val="left"/>
      <w:pPr>
        <w:ind w:left="432" w:hanging="432"/>
      </w:pPr>
      <w:rPr>
        <w:rFonts w:hint="default"/>
      </w:rPr>
    </w:lvl>
    <w:lvl w:ilvl="1">
      <w:start w:val="1"/>
      <w:numFmt w:val="decimal"/>
      <w:lvlText w:val="%2."/>
      <w:lvlJc w:val="left"/>
      <w:pPr>
        <w:ind w:left="3096" w:hanging="576"/>
      </w:pPr>
      <w:rPr>
        <w:rFonts w:hint="default"/>
      </w:rPr>
    </w:lvl>
    <w:lvl w:ilvl="2">
      <w:start w:val="1"/>
      <w:numFmt w:val="decimal"/>
      <w:lvlText w:val="%1.%3"/>
      <w:lvlJc w:val="left"/>
      <w:pPr>
        <w:ind w:left="720" w:hanging="720"/>
      </w:pPr>
      <w:rPr>
        <w:rFonts w:hint="default"/>
      </w:rPr>
    </w:lvl>
    <w:lvl w:ilvl="3">
      <w:start w:val="1"/>
      <w:numFmt w:val="decimal"/>
      <w:lvlText w:val="%1.%3.%4"/>
      <w:lvlJc w:val="left"/>
      <w:pPr>
        <w:ind w:left="864" w:hanging="864"/>
      </w:pPr>
      <w:rPr>
        <w:rFonts w:hint="default"/>
      </w:rPr>
    </w:lvl>
    <w:lvl w:ilvl="4">
      <w:start w:val="1"/>
      <w:numFmt w:val="decimal"/>
      <w:lvlText w:val="%1.%3.%4.%5"/>
      <w:lvlJc w:val="left"/>
      <w:pPr>
        <w:ind w:left="1008" w:hanging="1008"/>
      </w:pPr>
      <w:rPr>
        <w:rFonts w:hint="default"/>
      </w:rPr>
    </w:lvl>
    <w:lvl w:ilvl="5">
      <w:start w:val="1"/>
      <w:numFmt w:val="decimal"/>
      <w:lvlText w:val="%1.%3.%4.%5.%6"/>
      <w:lvlJc w:val="left"/>
      <w:pPr>
        <w:ind w:left="1152" w:hanging="1152"/>
      </w:pPr>
      <w:rPr>
        <w:rFonts w:hint="default"/>
      </w:rPr>
    </w:lvl>
    <w:lvl w:ilvl="6">
      <w:start w:val="1"/>
      <w:numFmt w:val="decimal"/>
      <w:lvlText w:val="%1.%3.%4.%5.%6.%7"/>
      <w:lvlJc w:val="left"/>
      <w:pPr>
        <w:ind w:left="1296" w:hanging="1296"/>
      </w:pPr>
      <w:rPr>
        <w:rFonts w:hint="default"/>
      </w:rPr>
    </w:lvl>
    <w:lvl w:ilvl="7">
      <w:start w:val="1"/>
      <w:numFmt w:val="decimal"/>
      <w:lvlText w:val="%1.%3.%4.%5.%6.%7.%8"/>
      <w:lvlJc w:val="left"/>
      <w:pPr>
        <w:ind w:left="1440" w:hanging="1440"/>
      </w:pPr>
      <w:rPr>
        <w:rFonts w:hint="default"/>
      </w:rPr>
    </w:lvl>
    <w:lvl w:ilvl="8">
      <w:start w:val="1"/>
      <w:numFmt w:val="decimal"/>
      <w:lvlText w:val="%9."/>
      <w:lvlJc w:val="left"/>
      <w:pPr>
        <w:ind w:left="1584" w:hanging="1584"/>
      </w:pPr>
      <w:rPr>
        <w:rFonts w:hint="default"/>
      </w:rPr>
    </w:lvl>
  </w:abstractNum>
  <w:abstractNum w:abstractNumId="10" w15:restartNumberingAfterBreak="0">
    <w:nsid w:val="1F594B98"/>
    <w:multiLevelType w:val="hybridMultilevel"/>
    <w:tmpl w:val="42C4A384"/>
    <w:lvl w:ilvl="0" w:tplc="5276FA34">
      <w:start w:val="1"/>
      <w:numFmt w:val="bullet"/>
      <w:lvlText w:val=""/>
      <w:lvlJc w:val="left"/>
      <w:pPr>
        <w:tabs>
          <w:tab w:val="num" w:pos="142"/>
        </w:tabs>
        <w:ind w:left="14175" w:hanging="14033"/>
      </w:pPr>
      <w:rPr>
        <w:rFonts w:ascii="Symbol" w:hAnsi="Symbol" w:hint="default"/>
        <w:color w:val="333399"/>
      </w:rPr>
    </w:lvl>
    <w:lvl w:ilvl="1" w:tplc="04090003" w:tentative="1">
      <w:start w:val="1"/>
      <w:numFmt w:val="bullet"/>
      <w:lvlText w:val="o"/>
      <w:lvlJc w:val="left"/>
      <w:pPr>
        <w:tabs>
          <w:tab w:val="num" w:pos="-4842"/>
        </w:tabs>
        <w:ind w:left="-4842" w:hanging="360"/>
      </w:pPr>
      <w:rPr>
        <w:rFonts w:ascii="Courier New" w:hAnsi="Courier New" w:cs="Courier New" w:hint="default"/>
      </w:rPr>
    </w:lvl>
    <w:lvl w:ilvl="2" w:tplc="04090005" w:tentative="1">
      <w:start w:val="1"/>
      <w:numFmt w:val="bullet"/>
      <w:lvlText w:val=""/>
      <w:lvlJc w:val="left"/>
      <w:pPr>
        <w:tabs>
          <w:tab w:val="num" w:pos="-4122"/>
        </w:tabs>
        <w:ind w:left="-4122" w:hanging="360"/>
      </w:pPr>
      <w:rPr>
        <w:rFonts w:ascii="Wingdings" w:hAnsi="Wingdings" w:hint="default"/>
      </w:rPr>
    </w:lvl>
    <w:lvl w:ilvl="3" w:tplc="04090001" w:tentative="1">
      <w:start w:val="1"/>
      <w:numFmt w:val="bullet"/>
      <w:lvlText w:val=""/>
      <w:lvlJc w:val="left"/>
      <w:pPr>
        <w:tabs>
          <w:tab w:val="num" w:pos="-3402"/>
        </w:tabs>
        <w:ind w:left="-3402" w:hanging="360"/>
      </w:pPr>
      <w:rPr>
        <w:rFonts w:ascii="Symbol" w:hAnsi="Symbol" w:hint="default"/>
      </w:rPr>
    </w:lvl>
    <w:lvl w:ilvl="4" w:tplc="04090003" w:tentative="1">
      <w:start w:val="1"/>
      <w:numFmt w:val="bullet"/>
      <w:lvlText w:val="o"/>
      <w:lvlJc w:val="left"/>
      <w:pPr>
        <w:tabs>
          <w:tab w:val="num" w:pos="-2682"/>
        </w:tabs>
        <w:ind w:left="-2682" w:hanging="360"/>
      </w:pPr>
      <w:rPr>
        <w:rFonts w:ascii="Courier New" w:hAnsi="Courier New" w:cs="Courier New" w:hint="default"/>
      </w:rPr>
    </w:lvl>
    <w:lvl w:ilvl="5" w:tplc="04090005" w:tentative="1">
      <w:start w:val="1"/>
      <w:numFmt w:val="bullet"/>
      <w:lvlText w:val=""/>
      <w:lvlJc w:val="left"/>
      <w:pPr>
        <w:tabs>
          <w:tab w:val="num" w:pos="-1962"/>
        </w:tabs>
        <w:ind w:left="-1962" w:hanging="360"/>
      </w:pPr>
      <w:rPr>
        <w:rFonts w:ascii="Wingdings" w:hAnsi="Wingdings" w:hint="default"/>
      </w:rPr>
    </w:lvl>
    <w:lvl w:ilvl="6" w:tplc="04090001" w:tentative="1">
      <w:start w:val="1"/>
      <w:numFmt w:val="bullet"/>
      <w:lvlText w:val=""/>
      <w:lvlJc w:val="left"/>
      <w:pPr>
        <w:tabs>
          <w:tab w:val="num" w:pos="-1242"/>
        </w:tabs>
        <w:ind w:left="-1242" w:hanging="360"/>
      </w:pPr>
      <w:rPr>
        <w:rFonts w:ascii="Symbol" w:hAnsi="Symbol" w:hint="default"/>
      </w:rPr>
    </w:lvl>
    <w:lvl w:ilvl="7" w:tplc="04090003" w:tentative="1">
      <w:start w:val="1"/>
      <w:numFmt w:val="bullet"/>
      <w:lvlText w:val="o"/>
      <w:lvlJc w:val="left"/>
      <w:pPr>
        <w:tabs>
          <w:tab w:val="num" w:pos="-522"/>
        </w:tabs>
        <w:ind w:left="-522" w:hanging="360"/>
      </w:pPr>
      <w:rPr>
        <w:rFonts w:ascii="Courier New" w:hAnsi="Courier New" w:cs="Courier New" w:hint="default"/>
      </w:rPr>
    </w:lvl>
    <w:lvl w:ilvl="8" w:tplc="04090005" w:tentative="1">
      <w:start w:val="1"/>
      <w:numFmt w:val="bullet"/>
      <w:lvlText w:val=""/>
      <w:lvlJc w:val="left"/>
      <w:pPr>
        <w:tabs>
          <w:tab w:val="num" w:pos="198"/>
        </w:tabs>
        <w:ind w:left="198" w:hanging="360"/>
      </w:pPr>
      <w:rPr>
        <w:rFonts w:ascii="Wingdings" w:hAnsi="Wingdings" w:hint="default"/>
      </w:rPr>
    </w:lvl>
  </w:abstractNum>
  <w:abstractNum w:abstractNumId="11" w15:restartNumberingAfterBreak="0">
    <w:nsid w:val="1FA47E83"/>
    <w:multiLevelType w:val="hybridMultilevel"/>
    <w:tmpl w:val="622CB03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1463DF3"/>
    <w:multiLevelType w:val="hybridMultilevel"/>
    <w:tmpl w:val="C39CF2E4"/>
    <w:lvl w:ilvl="0" w:tplc="ABC2B14C">
      <w:start w:val="1"/>
      <w:numFmt w:val="bullet"/>
      <w:pStyle w:val="mk1txtb1a"/>
      <w:lvlText w:val=""/>
      <w:lvlJc w:val="left"/>
      <w:pPr>
        <w:tabs>
          <w:tab w:val="num" w:pos="425"/>
        </w:tabs>
        <w:ind w:left="425" w:hanging="141"/>
      </w:pPr>
      <w:rPr>
        <w:rFonts w:ascii="Symbol" w:hAnsi="Symbol" w:hint="default"/>
        <w:color w:val="333399"/>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3472BE"/>
    <w:multiLevelType w:val="hybridMultilevel"/>
    <w:tmpl w:val="1E4A8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02C89"/>
    <w:multiLevelType w:val="hybridMultilevel"/>
    <w:tmpl w:val="7E90D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637D1C"/>
    <w:multiLevelType w:val="multilevel"/>
    <w:tmpl w:val="9154C3E6"/>
    <w:lvl w:ilvl="0">
      <w:start w:val="1"/>
      <w:numFmt w:val="upperLetter"/>
      <w:lvlText w:val="%1."/>
      <w:lvlJc w:val="left"/>
      <w:pPr>
        <w:tabs>
          <w:tab w:val="num" w:pos="360"/>
        </w:tabs>
        <w:ind w:left="360" w:hanging="360"/>
      </w:pPr>
    </w:lvl>
    <w:lvl w:ilvl="1">
      <w:start w:val="1"/>
      <w:numFmt w:val="decimal"/>
      <w:lvlText w:val="%2."/>
      <w:lvlJc w:val="left"/>
      <w:pPr>
        <w:tabs>
          <w:tab w:val="num" w:pos="360"/>
        </w:tabs>
        <w:ind w:left="0" w:firstLine="0"/>
      </w:pPr>
      <w:rPr>
        <w:rFonts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DF6750D"/>
    <w:multiLevelType w:val="hybridMultilevel"/>
    <w:tmpl w:val="A4165D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439E6"/>
    <w:multiLevelType w:val="multilevel"/>
    <w:tmpl w:val="25102C70"/>
    <w:lvl w:ilvl="0">
      <w:start w:val="1"/>
      <w:numFmt w:val="none"/>
      <w:suff w:val="nothing"/>
      <w:lvlText w:val="%1"/>
      <w:lvlJc w:val="left"/>
      <w:pPr>
        <w:ind w:left="0" w:firstLine="0"/>
      </w:pPr>
      <w:rPr>
        <w:rFonts w:hint="default"/>
      </w:rPr>
    </w:lvl>
    <w:lvl w:ilvl="1">
      <w:start w:val="1"/>
      <w:numFmt w:val="decimal"/>
      <w:pStyle w:val="MainParanoChapter"/>
      <w:lvlText w:val="%2."/>
      <w:lvlJc w:val="left"/>
      <w:pPr>
        <w:tabs>
          <w:tab w:val="num" w:pos="720"/>
        </w:tabs>
        <w:ind w:left="720" w:hanging="720"/>
      </w:pPr>
      <w:rPr>
        <w:rFonts w:hint="default"/>
      </w:rPr>
    </w:lvl>
    <w:lvl w:ilvl="2">
      <w:start w:val="1"/>
      <w:numFmt w:val="lowerLetter"/>
      <w:lvlText w:val="(%3)"/>
      <w:lvlJc w:val="left"/>
      <w:pPr>
        <w:tabs>
          <w:tab w:val="num" w:pos="1080"/>
        </w:tabs>
        <w:ind w:left="720" w:hanging="360"/>
      </w:pPr>
      <w:rPr>
        <w:rFonts w:hint="default"/>
      </w:rPr>
    </w:lvl>
    <w:lvl w:ilvl="3">
      <w:start w:val="1"/>
      <w:numFmt w:val="lowerRoman"/>
      <w:pStyle w:val="Sub-Para2underX"/>
      <w:lvlText w:val="(%4)"/>
      <w:lvlJc w:val="left"/>
      <w:pPr>
        <w:tabs>
          <w:tab w:val="num" w:pos="180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2160"/>
        </w:tabs>
        <w:ind w:left="180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3730BC7"/>
    <w:multiLevelType w:val="singleLevel"/>
    <w:tmpl w:val="37985512"/>
    <w:lvl w:ilvl="0">
      <w:start w:val="1"/>
      <w:numFmt w:val="bullet"/>
      <w:pStyle w:val="mk1txtb1"/>
      <w:lvlText w:val=""/>
      <w:lvlJc w:val="left"/>
      <w:pPr>
        <w:tabs>
          <w:tab w:val="num" w:pos="1080"/>
        </w:tabs>
        <w:ind w:left="1008" w:hanging="288"/>
      </w:pPr>
      <w:rPr>
        <w:rFonts w:ascii="Symbol" w:hAnsi="Symbol" w:hint="default"/>
      </w:rPr>
    </w:lvl>
  </w:abstractNum>
  <w:abstractNum w:abstractNumId="19" w15:restartNumberingAfterBreak="0">
    <w:nsid w:val="33EE7B10"/>
    <w:multiLevelType w:val="multilevel"/>
    <w:tmpl w:val="E0A00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5AF2C33"/>
    <w:multiLevelType w:val="singleLevel"/>
    <w:tmpl w:val="4E1E4AEE"/>
    <w:lvl w:ilvl="0">
      <w:start w:val="1"/>
      <w:numFmt w:val="bullet"/>
      <w:pStyle w:val="mk2txtb1"/>
      <w:lvlText w:val=""/>
      <w:lvlJc w:val="left"/>
      <w:pPr>
        <w:tabs>
          <w:tab w:val="num" w:pos="502"/>
        </w:tabs>
        <w:ind w:left="286" w:hanging="144"/>
      </w:pPr>
      <w:rPr>
        <w:rFonts w:ascii="Wingdings" w:hAnsi="Wingdings" w:hint="default"/>
      </w:rPr>
    </w:lvl>
  </w:abstractNum>
  <w:abstractNum w:abstractNumId="21" w15:restartNumberingAfterBreak="0">
    <w:nsid w:val="35D43C5E"/>
    <w:multiLevelType w:val="hybridMultilevel"/>
    <w:tmpl w:val="55CC008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8B94842"/>
    <w:multiLevelType w:val="multilevel"/>
    <w:tmpl w:val="BC84CBF8"/>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23" w15:restartNumberingAfterBreak="0">
    <w:nsid w:val="3CB65B2F"/>
    <w:multiLevelType w:val="hybridMultilevel"/>
    <w:tmpl w:val="CBC49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D02B44"/>
    <w:multiLevelType w:val="hybridMultilevel"/>
    <w:tmpl w:val="64B02A2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DC85853"/>
    <w:multiLevelType w:val="hybridMultilevel"/>
    <w:tmpl w:val="ABC63540"/>
    <w:lvl w:ilvl="0" w:tplc="508C7FF2">
      <w:start w:val="1"/>
      <w:numFmt w:val="bullet"/>
      <w:pStyle w:val="mk2txtb2"/>
      <w:lvlText w:val=""/>
      <w:lvlJc w:val="left"/>
      <w:pPr>
        <w:tabs>
          <w:tab w:val="num" w:pos="296"/>
        </w:tabs>
        <w:ind w:left="296" w:hanging="141"/>
      </w:pPr>
      <w:rPr>
        <w:rFonts w:ascii="Symbol" w:hAnsi="Symbol" w:hint="default"/>
        <w:color w:val="333399"/>
      </w:rPr>
    </w:lvl>
    <w:lvl w:ilvl="1" w:tplc="04090003" w:tentative="1">
      <w:start w:val="1"/>
      <w:numFmt w:val="bullet"/>
      <w:lvlText w:val="o"/>
      <w:lvlJc w:val="left"/>
      <w:pPr>
        <w:tabs>
          <w:tab w:val="num" w:pos="1311"/>
        </w:tabs>
        <w:ind w:left="1311" w:hanging="360"/>
      </w:pPr>
      <w:rPr>
        <w:rFonts w:ascii="Courier New" w:hAnsi="Courier New" w:cs="Courier New" w:hint="default"/>
      </w:rPr>
    </w:lvl>
    <w:lvl w:ilvl="2" w:tplc="04090005" w:tentative="1">
      <w:start w:val="1"/>
      <w:numFmt w:val="bullet"/>
      <w:lvlText w:val=""/>
      <w:lvlJc w:val="left"/>
      <w:pPr>
        <w:tabs>
          <w:tab w:val="num" w:pos="2031"/>
        </w:tabs>
        <w:ind w:left="2031" w:hanging="360"/>
      </w:pPr>
      <w:rPr>
        <w:rFonts w:ascii="Wingdings" w:hAnsi="Wingdings" w:hint="default"/>
      </w:rPr>
    </w:lvl>
    <w:lvl w:ilvl="3" w:tplc="04090001" w:tentative="1">
      <w:start w:val="1"/>
      <w:numFmt w:val="bullet"/>
      <w:lvlText w:val=""/>
      <w:lvlJc w:val="left"/>
      <w:pPr>
        <w:tabs>
          <w:tab w:val="num" w:pos="2751"/>
        </w:tabs>
        <w:ind w:left="2751" w:hanging="360"/>
      </w:pPr>
      <w:rPr>
        <w:rFonts w:ascii="Symbol" w:hAnsi="Symbol" w:hint="default"/>
      </w:rPr>
    </w:lvl>
    <w:lvl w:ilvl="4" w:tplc="04090003" w:tentative="1">
      <w:start w:val="1"/>
      <w:numFmt w:val="bullet"/>
      <w:lvlText w:val="o"/>
      <w:lvlJc w:val="left"/>
      <w:pPr>
        <w:tabs>
          <w:tab w:val="num" w:pos="3471"/>
        </w:tabs>
        <w:ind w:left="3471" w:hanging="360"/>
      </w:pPr>
      <w:rPr>
        <w:rFonts w:ascii="Courier New" w:hAnsi="Courier New" w:cs="Courier New" w:hint="default"/>
      </w:rPr>
    </w:lvl>
    <w:lvl w:ilvl="5" w:tplc="04090005" w:tentative="1">
      <w:start w:val="1"/>
      <w:numFmt w:val="bullet"/>
      <w:lvlText w:val=""/>
      <w:lvlJc w:val="left"/>
      <w:pPr>
        <w:tabs>
          <w:tab w:val="num" w:pos="4191"/>
        </w:tabs>
        <w:ind w:left="4191" w:hanging="360"/>
      </w:pPr>
      <w:rPr>
        <w:rFonts w:ascii="Wingdings" w:hAnsi="Wingdings" w:hint="default"/>
      </w:rPr>
    </w:lvl>
    <w:lvl w:ilvl="6" w:tplc="04090001" w:tentative="1">
      <w:start w:val="1"/>
      <w:numFmt w:val="bullet"/>
      <w:lvlText w:val=""/>
      <w:lvlJc w:val="left"/>
      <w:pPr>
        <w:tabs>
          <w:tab w:val="num" w:pos="4911"/>
        </w:tabs>
        <w:ind w:left="4911" w:hanging="360"/>
      </w:pPr>
      <w:rPr>
        <w:rFonts w:ascii="Symbol" w:hAnsi="Symbol" w:hint="default"/>
      </w:rPr>
    </w:lvl>
    <w:lvl w:ilvl="7" w:tplc="04090003" w:tentative="1">
      <w:start w:val="1"/>
      <w:numFmt w:val="bullet"/>
      <w:lvlText w:val="o"/>
      <w:lvlJc w:val="left"/>
      <w:pPr>
        <w:tabs>
          <w:tab w:val="num" w:pos="5631"/>
        </w:tabs>
        <w:ind w:left="5631" w:hanging="360"/>
      </w:pPr>
      <w:rPr>
        <w:rFonts w:ascii="Courier New" w:hAnsi="Courier New" w:cs="Courier New" w:hint="default"/>
      </w:rPr>
    </w:lvl>
    <w:lvl w:ilvl="8" w:tplc="04090005" w:tentative="1">
      <w:start w:val="1"/>
      <w:numFmt w:val="bullet"/>
      <w:lvlText w:val=""/>
      <w:lvlJc w:val="left"/>
      <w:pPr>
        <w:tabs>
          <w:tab w:val="num" w:pos="6351"/>
        </w:tabs>
        <w:ind w:left="6351" w:hanging="360"/>
      </w:pPr>
      <w:rPr>
        <w:rFonts w:ascii="Wingdings" w:hAnsi="Wingdings" w:hint="default"/>
      </w:rPr>
    </w:lvl>
  </w:abstractNum>
  <w:abstractNum w:abstractNumId="26" w15:restartNumberingAfterBreak="0">
    <w:nsid w:val="408915E2"/>
    <w:multiLevelType w:val="hybridMultilevel"/>
    <w:tmpl w:val="FC62DDF0"/>
    <w:lvl w:ilvl="0" w:tplc="D126485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26A1E58"/>
    <w:multiLevelType w:val="hybridMultilevel"/>
    <w:tmpl w:val="9FC26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7F265E"/>
    <w:multiLevelType w:val="multilevel"/>
    <w:tmpl w:val="7688AAAE"/>
    <w:lvl w:ilvl="0">
      <w:start w:val="1"/>
      <w:numFmt w:val="decimal"/>
      <w:lvlText w:val="%1."/>
      <w:lvlJc w:val="left"/>
      <w:pPr>
        <w:tabs>
          <w:tab w:val="num" w:pos="648"/>
        </w:tabs>
        <w:ind w:left="360" w:hanging="72"/>
      </w:pPr>
      <w:rPr>
        <w:rFonts w:hint="default"/>
      </w:rPr>
    </w:lvl>
    <w:lvl w:ilvl="1">
      <w:start w:val="1"/>
      <w:numFmt w:val="decimal"/>
      <w:lvlText w:val="%2."/>
      <w:lvlJc w:val="left"/>
      <w:pPr>
        <w:tabs>
          <w:tab w:val="num" w:pos="360"/>
        </w:tabs>
        <w:ind w:left="0" w:firstLine="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4D824E2"/>
    <w:multiLevelType w:val="hybridMultilevel"/>
    <w:tmpl w:val="CFDA5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52F46A8"/>
    <w:multiLevelType w:val="hybridMultilevel"/>
    <w:tmpl w:val="D384233C"/>
    <w:lvl w:ilvl="0" w:tplc="353CB930">
      <w:start w:val="1"/>
      <w:numFmt w:val="bullet"/>
      <w:pStyle w:val="mk3txtb1"/>
      <w:lvlText w:val=""/>
      <w:lvlJc w:val="left"/>
      <w:pPr>
        <w:ind w:left="862" w:hanging="360"/>
      </w:pPr>
      <w:rPr>
        <w:rFonts w:ascii="Wingdings" w:hAnsi="Wingdings"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31" w15:restartNumberingAfterBreak="0">
    <w:nsid w:val="55FD0BB2"/>
    <w:multiLevelType w:val="hybridMultilevel"/>
    <w:tmpl w:val="E6BC7366"/>
    <w:lvl w:ilvl="0" w:tplc="9618B27E">
      <w:start w:val="1"/>
      <w:numFmt w:val="bullet"/>
      <w:pStyle w:val="bullet"/>
      <w:lvlText w:val=""/>
      <w:lvlJc w:val="left"/>
      <w:pPr>
        <w:ind w:left="3960" w:hanging="360"/>
      </w:pPr>
      <w:rPr>
        <w:rFonts w:ascii="Symbol" w:hAnsi="Symbol" w:hint="default"/>
      </w:rPr>
    </w:lvl>
    <w:lvl w:ilvl="1" w:tplc="04090003">
      <w:start w:val="1"/>
      <w:numFmt w:val="bullet"/>
      <w:lvlText w:val="o"/>
      <w:lvlJc w:val="left"/>
      <w:pPr>
        <w:ind w:left="4680" w:hanging="360"/>
      </w:pPr>
      <w:rPr>
        <w:rFonts w:ascii="Courier New" w:hAnsi="Courier New" w:cs="Courier New" w:hint="default"/>
      </w:rPr>
    </w:lvl>
    <w:lvl w:ilvl="2" w:tplc="0416001B" w:tentative="1">
      <w:start w:val="1"/>
      <w:numFmt w:val="lowerRoman"/>
      <w:lvlText w:val="%3."/>
      <w:lvlJc w:val="right"/>
      <w:pPr>
        <w:ind w:left="5400" w:hanging="180"/>
      </w:pPr>
    </w:lvl>
    <w:lvl w:ilvl="3" w:tplc="0416000F" w:tentative="1">
      <w:start w:val="1"/>
      <w:numFmt w:val="decimal"/>
      <w:lvlText w:val="%4."/>
      <w:lvlJc w:val="left"/>
      <w:pPr>
        <w:ind w:left="6120" w:hanging="360"/>
      </w:pPr>
    </w:lvl>
    <w:lvl w:ilvl="4" w:tplc="04160019" w:tentative="1">
      <w:start w:val="1"/>
      <w:numFmt w:val="lowerLetter"/>
      <w:lvlText w:val="%5."/>
      <w:lvlJc w:val="left"/>
      <w:pPr>
        <w:ind w:left="6840" w:hanging="360"/>
      </w:pPr>
    </w:lvl>
    <w:lvl w:ilvl="5" w:tplc="0416001B" w:tentative="1">
      <w:start w:val="1"/>
      <w:numFmt w:val="lowerRoman"/>
      <w:lvlText w:val="%6."/>
      <w:lvlJc w:val="right"/>
      <w:pPr>
        <w:ind w:left="7560" w:hanging="180"/>
      </w:pPr>
    </w:lvl>
    <w:lvl w:ilvl="6" w:tplc="0416000F" w:tentative="1">
      <w:start w:val="1"/>
      <w:numFmt w:val="decimal"/>
      <w:lvlText w:val="%7."/>
      <w:lvlJc w:val="left"/>
      <w:pPr>
        <w:ind w:left="8280" w:hanging="360"/>
      </w:pPr>
    </w:lvl>
    <w:lvl w:ilvl="7" w:tplc="04160019" w:tentative="1">
      <w:start w:val="1"/>
      <w:numFmt w:val="lowerLetter"/>
      <w:lvlText w:val="%8."/>
      <w:lvlJc w:val="left"/>
      <w:pPr>
        <w:ind w:left="9000" w:hanging="360"/>
      </w:pPr>
    </w:lvl>
    <w:lvl w:ilvl="8" w:tplc="0416001B" w:tentative="1">
      <w:start w:val="1"/>
      <w:numFmt w:val="lowerRoman"/>
      <w:lvlText w:val="%9."/>
      <w:lvlJc w:val="right"/>
      <w:pPr>
        <w:ind w:left="9720" w:hanging="180"/>
      </w:pPr>
    </w:lvl>
  </w:abstractNum>
  <w:abstractNum w:abstractNumId="32" w15:restartNumberingAfterBreak="0">
    <w:nsid w:val="57E1143A"/>
    <w:multiLevelType w:val="hybridMultilevel"/>
    <w:tmpl w:val="52BA1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Times New Roman Bold"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New Roman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New Roman Bold"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AA4842"/>
    <w:multiLevelType w:val="hybridMultilevel"/>
    <w:tmpl w:val="BCA2122C"/>
    <w:lvl w:ilvl="0" w:tplc="5FFEE894">
      <w:start w:val="1"/>
      <w:numFmt w:val="decimal"/>
      <w:pStyle w:val="NumberedText"/>
      <w:lvlText w:val="%1."/>
      <w:lvlJc w:val="left"/>
      <w:pPr>
        <w:tabs>
          <w:tab w:val="num" w:pos="720"/>
        </w:tabs>
        <w:ind w:left="0" w:firstLine="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CD02D9"/>
    <w:multiLevelType w:val="hybridMultilevel"/>
    <w:tmpl w:val="38F8FD54"/>
    <w:lvl w:ilvl="0" w:tplc="62EC8830">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853098F"/>
    <w:multiLevelType w:val="hybridMultilevel"/>
    <w:tmpl w:val="E6B40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082BCD"/>
    <w:multiLevelType w:val="hybridMultilevel"/>
    <w:tmpl w:val="9790D946"/>
    <w:lvl w:ilvl="0" w:tplc="46104388">
      <w:start w:val="1"/>
      <w:numFmt w:val="decimal"/>
      <w:pStyle w:val="Numbered"/>
      <w:lvlText w:val="%1."/>
      <w:lvlJc w:val="left"/>
      <w:pPr>
        <w:ind w:left="720" w:hanging="360"/>
      </w:pPr>
    </w:lvl>
    <w:lvl w:ilvl="1" w:tplc="58D07DC8">
      <w:start w:val="1"/>
      <w:numFmt w:val="lowerRoman"/>
      <w:lvlText w:val="(%2)"/>
      <w:lvlJc w:val="left"/>
      <w:pPr>
        <w:ind w:left="1440" w:hanging="360"/>
      </w:pPr>
      <w:rPr>
        <w:rFonts w:hint="default"/>
      </w:r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056F80"/>
    <w:multiLevelType w:val="hybridMultilevel"/>
    <w:tmpl w:val="9700401A"/>
    <w:lvl w:ilvl="0" w:tplc="DB4A623A">
      <w:start w:val="24"/>
      <w:numFmt w:val="decimal"/>
      <w:lvlText w:val="%1."/>
      <w:lvlJc w:val="left"/>
      <w:pPr>
        <w:ind w:left="720" w:hanging="360"/>
      </w:pPr>
      <w:rPr>
        <w:rFonts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2265EF"/>
    <w:multiLevelType w:val="hybridMultilevel"/>
    <w:tmpl w:val="4FD0595C"/>
    <w:lvl w:ilvl="0" w:tplc="AAFE5DFA">
      <w:start w:val="1"/>
      <w:numFmt w:val="bullet"/>
      <w:pStyle w:val="mk3txtb2"/>
      <w:lvlText w:val=""/>
      <w:lvlJc w:val="left"/>
      <w:pPr>
        <w:ind w:left="1435" w:hanging="360"/>
      </w:pPr>
      <w:rPr>
        <w:rFonts w:ascii="Symbol" w:hAnsi="Symbol" w:hint="default"/>
        <w:color w:val="333399"/>
      </w:rPr>
    </w:lvl>
    <w:lvl w:ilvl="1" w:tplc="08090003" w:tentative="1">
      <w:start w:val="1"/>
      <w:numFmt w:val="bullet"/>
      <w:lvlText w:val="o"/>
      <w:lvlJc w:val="left"/>
      <w:pPr>
        <w:ind w:left="2155" w:hanging="360"/>
      </w:pPr>
      <w:rPr>
        <w:rFonts w:ascii="Courier New" w:hAnsi="Courier New" w:cs="Courier New" w:hint="default"/>
      </w:rPr>
    </w:lvl>
    <w:lvl w:ilvl="2" w:tplc="08090005" w:tentative="1">
      <w:start w:val="1"/>
      <w:numFmt w:val="bullet"/>
      <w:lvlText w:val=""/>
      <w:lvlJc w:val="left"/>
      <w:pPr>
        <w:ind w:left="2875" w:hanging="360"/>
      </w:pPr>
      <w:rPr>
        <w:rFonts w:ascii="Wingdings" w:hAnsi="Wingdings" w:hint="default"/>
      </w:rPr>
    </w:lvl>
    <w:lvl w:ilvl="3" w:tplc="08090001" w:tentative="1">
      <w:start w:val="1"/>
      <w:numFmt w:val="bullet"/>
      <w:lvlText w:val=""/>
      <w:lvlJc w:val="left"/>
      <w:pPr>
        <w:ind w:left="3595" w:hanging="360"/>
      </w:pPr>
      <w:rPr>
        <w:rFonts w:ascii="Symbol" w:hAnsi="Symbol" w:hint="default"/>
      </w:rPr>
    </w:lvl>
    <w:lvl w:ilvl="4" w:tplc="08090003" w:tentative="1">
      <w:start w:val="1"/>
      <w:numFmt w:val="bullet"/>
      <w:lvlText w:val="o"/>
      <w:lvlJc w:val="left"/>
      <w:pPr>
        <w:ind w:left="4315" w:hanging="360"/>
      </w:pPr>
      <w:rPr>
        <w:rFonts w:ascii="Courier New" w:hAnsi="Courier New" w:cs="Courier New" w:hint="default"/>
      </w:rPr>
    </w:lvl>
    <w:lvl w:ilvl="5" w:tplc="08090005" w:tentative="1">
      <w:start w:val="1"/>
      <w:numFmt w:val="bullet"/>
      <w:lvlText w:val=""/>
      <w:lvlJc w:val="left"/>
      <w:pPr>
        <w:ind w:left="5035" w:hanging="360"/>
      </w:pPr>
      <w:rPr>
        <w:rFonts w:ascii="Wingdings" w:hAnsi="Wingdings" w:hint="default"/>
      </w:rPr>
    </w:lvl>
    <w:lvl w:ilvl="6" w:tplc="08090001" w:tentative="1">
      <w:start w:val="1"/>
      <w:numFmt w:val="bullet"/>
      <w:lvlText w:val=""/>
      <w:lvlJc w:val="left"/>
      <w:pPr>
        <w:ind w:left="5755" w:hanging="360"/>
      </w:pPr>
      <w:rPr>
        <w:rFonts w:ascii="Symbol" w:hAnsi="Symbol" w:hint="default"/>
      </w:rPr>
    </w:lvl>
    <w:lvl w:ilvl="7" w:tplc="08090003" w:tentative="1">
      <w:start w:val="1"/>
      <w:numFmt w:val="bullet"/>
      <w:lvlText w:val="o"/>
      <w:lvlJc w:val="left"/>
      <w:pPr>
        <w:ind w:left="6475" w:hanging="360"/>
      </w:pPr>
      <w:rPr>
        <w:rFonts w:ascii="Courier New" w:hAnsi="Courier New" w:cs="Courier New" w:hint="default"/>
      </w:rPr>
    </w:lvl>
    <w:lvl w:ilvl="8" w:tplc="08090005" w:tentative="1">
      <w:start w:val="1"/>
      <w:numFmt w:val="bullet"/>
      <w:lvlText w:val=""/>
      <w:lvlJc w:val="left"/>
      <w:pPr>
        <w:ind w:left="7195" w:hanging="360"/>
      </w:pPr>
      <w:rPr>
        <w:rFonts w:ascii="Wingdings" w:hAnsi="Wingdings" w:hint="default"/>
      </w:rPr>
    </w:lvl>
  </w:abstractNum>
  <w:abstractNum w:abstractNumId="39" w15:restartNumberingAfterBreak="0">
    <w:nsid w:val="75FD3BEB"/>
    <w:multiLevelType w:val="multilevel"/>
    <w:tmpl w:val="E27EA8D4"/>
    <w:lvl w:ilvl="0">
      <w:start w:val="1"/>
      <w:numFmt w:val="upperLetter"/>
      <w:lvlText w:val="%1."/>
      <w:lvlJc w:val="left"/>
      <w:pPr>
        <w:tabs>
          <w:tab w:val="num" w:pos="360"/>
        </w:tabs>
        <w:ind w:left="360" w:hanging="360"/>
      </w:pPr>
    </w:lvl>
    <w:lvl w:ilvl="1">
      <w:start w:val="1"/>
      <w:numFmt w:val="decimal"/>
      <w:lvlText w:val="%2."/>
      <w:lvlJc w:val="left"/>
      <w:pPr>
        <w:tabs>
          <w:tab w:val="num" w:pos="360"/>
        </w:tabs>
        <w:ind w:left="0" w:firstLine="0"/>
      </w:pPr>
      <w:rPr>
        <w:rFonts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7DEF12D9"/>
    <w:multiLevelType w:val="hybridMultilevel"/>
    <w:tmpl w:val="14183168"/>
    <w:lvl w:ilvl="0" w:tplc="2C8A1AFA">
      <w:start w:val="1"/>
      <w:numFmt w:val="decimal"/>
      <w:lvlText w:val="%1."/>
      <w:lvlJc w:val="left"/>
      <w:pPr>
        <w:ind w:left="54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670472">
    <w:abstractNumId w:val="24"/>
  </w:num>
  <w:num w:numId="2" w16cid:durableId="1172332047">
    <w:abstractNumId w:val="4"/>
  </w:num>
  <w:num w:numId="3" w16cid:durableId="1079137987">
    <w:abstractNumId w:val="37"/>
  </w:num>
  <w:num w:numId="4" w16cid:durableId="817965286">
    <w:abstractNumId w:val="18"/>
  </w:num>
  <w:num w:numId="5" w16cid:durableId="114492167">
    <w:abstractNumId w:val="29"/>
  </w:num>
  <w:num w:numId="6" w16cid:durableId="326859405">
    <w:abstractNumId w:val="23"/>
  </w:num>
  <w:num w:numId="7" w16cid:durableId="1503469396">
    <w:abstractNumId w:val="13"/>
  </w:num>
  <w:num w:numId="8" w16cid:durableId="476148536">
    <w:abstractNumId w:val="31"/>
  </w:num>
  <w:num w:numId="9" w16cid:durableId="1586767327">
    <w:abstractNumId w:val="16"/>
  </w:num>
  <w:num w:numId="10" w16cid:durableId="1442339261">
    <w:abstractNumId w:val="1"/>
  </w:num>
  <w:num w:numId="11" w16cid:durableId="488904623">
    <w:abstractNumId w:val="27"/>
  </w:num>
  <w:num w:numId="12" w16cid:durableId="585921719">
    <w:abstractNumId w:val="2"/>
  </w:num>
  <w:num w:numId="13" w16cid:durableId="1748114526">
    <w:abstractNumId w:val="7"/>
  </w:num>
  <w:num w:numId="14" w16cid:durableId="1120997774">
    <w:abstractNumId w:val="17"/>
  </w:num>
  <w:num w:numId="15" w16cid:durableId="318120385">
    <w:abstractNumId w:val="34"/>
  </w:num>
  <w:num w:numId="16" w16cid:durableId="1270091228">
    <w:abstractNumId w:val="22"/>
  </w:num>
  <w:num w:numId="17" w16cid:durableId="2084721292">
    <w:abstractNumId w:val="40"/>
  </w:num>
  <w:num w:numId="18" w16cid:durableId="1456556444">
    <w:abstractNumId w:val="32"/>
  </w:num>
  <w:num w:numId="19" w16cid:durableId="1978877164">
    <w:abstractNumId w:val="36"/>
  </w:num>
  <w:num w:numId="20" w16cid:durableId="668674578">
    <w:abstractNumId w:val="33"/>
  </w:num>
  <w:num w:numId="21" w16cid:durableId="739135833">
    <w:abstractNumId w:val="19"/>
  </w:num>
  <w:num w:numId="22" w16cid:durableId="717511735">
    <w:abstractNumId w:val="21"/>
  </w:num>
  <w:num w:numId="23" w16cid:durableId="1740244856">
    <w:abstractNumId w:val="35"/>
  </w:num>
  <w:num w:numId="24" w16cid:durableId="331953642">
    <w:abstractNumId w:val="39"/>
  </w:num>
  <w:num w:numId="25" w16cid:durableId="506217139">
    <w:abstractNumId w:val="12"/>
  </w:num>
  <w:num w:numId="26" w16cid:durableId="209997620">
    <w:abstractNumId w:val="6"/>
  </w:num>
  <w:num w:numId="27" w16cid:durableId="821771955">
    <w:abstractNumId w:val="8"/>
  </w:num>
  <w:num w:numId="28" w16cid:durableId="1893417776">
    <w:abstractNumId w:val="20"/>
  </w:num>
  <w:num w:numId="29" w16cid:durableId="113448533">
    <w:abstractNumId w:val="10"/>
  </w:num>
  <w:num w:numId="30" w16cid:durableId="1100564998">
    <w:abstractNumId w:val="28"/>
  </w:num>
  <w:num w:numId="31" w16cid:durableId="597758479">
    <w:abstractNumId w:val="25"/>
  </w:num>
  <w:num w:numId="32" w16cid:durableId="153958385">
    <w:abstractNumId w:val="0"/>
  </w:num>
  <w:num w:numId="33" w16cid:durableId="154037387">
    <w:abstractNumId w:val="5"/>
  </w:num>
  <w:num w:numId="34" w16cid:durableId="70544545">
    <w:abstractNumId w:val="26"/>
  </w:num>
  <w:num w:numId="35" w16cid:durableId="278804880">
    <w:abstractNumId w:val="9"/>
  </w:num>
  <w:num w:numId="36" w16cid:durableId="329794506">
    <w:abstractNumId w:val="15"/>
  </w:num>
  <w:num w:numId="37" w16cid:durableId="212082866">
    <w:abstractNumId w:val="3"/>
  </w:num>
  <w:num w:numId="38" w16cid:durableId="846559737">
    <w:abstractNumId w:val="30"/>
  </w:num>
  <w:num w:numId="39" w16cid:durableId="371735125">
    <w:abstractNumId w:val="38"/>
  </w:num>
  <w:num w:numId="40" w16cid:durableId="149375334">
    <w:abstractNumId w:val="11"/>
  </w:num>
  <w:num w:numId="41" w16cid:durableId="18709452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9911900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6A6F"/>
    <w:rsid w:val="001F5290"/>
    <w:rsid w:val="00205F16"/>
    <w:rsid w:val="00414F01"/>
    <w:rsid w:val="00426A6F"/>
    <w:rsid w:val="008F46F6"/>
    <w:rsid w:val="00A05849"/>
    <w:rsid w:val="00B410DD"/>
    <w:rsid w:val="00DB407F"/>
    <w:rsid w:val="00DF20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7E36D"/>
  <w15:chartTrackingRefBased/>
  <w15:docId w15:val="{35339CD8-C077-4B46-BCF3-17703DA9C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426A6F"/>
    <w:pPr>
      <w:keepNext/>
      <w:keepLines/>
      <w:spacing w:before="240" w:after="0"/>
      <w:jc w:val="center"/>
      <w:outlineLvl w:val="0"/>
    </w:pPr>
    <w:rPr>
      <w:rFonts w:ascii="Cambria" w:eastAsia="MS Gothic" w:hAnsi="Cambria" w:cs="Times New Roman"/>
      <w:b/>
      <w:bCs/>
      <w:color w:val="365F91"/>
      <w:sz w:val="28"/>
      <w:szCs w:val="28"/>
    </w:rPr>
  </w:style>
  <w:style w:type="paragraph" w:styleId="Heading2">
    <w:name w:val="heading 2"/>
    <w:basedOn w:val="Normal"/>
    <w:next w:val="Normal"/>
    <w:link w:val="Heading2Char"/>
    <w:unhideWhenUsed/>
    <w:qFormat/>
    <w:rsid w:val="00426A6F"/>
    <w:pPr>
      <w:keepNext/>
      <w:keepLines/>
      <w:spacing w:before="40" w:after="0"/>
      <w:jc w:val="both"/>
      <w:outlineLvl w:val="1"/>
    </w:pPr>
    <w:rPr>
      <w:rFonts w:ascii="Cambria" w:eastAsia="Times New Roman" w:hAnsi="Cambria" w:cs="Times New Roman"/>
      <w:b/>
      <w:bCs/>
      <w:color w:val="4F81BD"/>
      <w:sz w:val="26"/>
      <w:szCs w:val="26"/>
    </w:rPr>
  </w:style>
  <w:style w:type="paragraph" w:styleId="Heading3">
    <w:name w:val="heading 3"/>
    <w:aliases w:val="text"/>
    <w:basedOn w:val="Normal"/>
    <w:next w:val="Normal"/>
    <w:link w:val="Heading3Char"/>
    <w:unhideWhenUsed/>
    <w:qFormat/>
    <w:rsid w:val="00426A6F"/>
    <w:pPr>
      <w:keepNext/>
      <w:keepLines/>
      <w:spacing w:before="120" w:after="120" w:line="240" w:lineRule="auto"/>
      <w:jc w:val="both"/>
      <w:outlineLvl w:val="2"/>
    </w:pPr>
    <w:rPr>
      <w:rFonts w:ascii="Times New Roman" w:eastAsia="MS Gothic" w:hAnsi="Times New Roman" w:cs="Times New Roman"/>
      <w:b/>
      <w:bCs/>
      <w:i/>
      <w:color w:val="4F81BD"/>
      <w:sz w:val="24"/>
      <w:szCs w:val="24"/>
    </w:rPr>
  </w:style>
  <w:style w:type="paragraph" w:styleId="Heading4">
    <w:name w:val="heading 4"/>
    <w:basedOn w:val="Normal"/>
    <w:next w:val="Normal"/>
    <w:link w:val="Heading4Char"/>
    <w:unhideWhenUsed/>
    <w:qFormat/>
    <w:rsid w:val="00426A6F"/>
    <w:pPr>
      <w:keepNext/>
      <w:spacing w:before="360" w:after="180" w:line="240" w:lineRule="auto"/>
      <w:jc w:val="both"/>
      <w:outlineLvl w:val="3"/>
    </w:pPr>
    <w:rPr>
      <w:rFonts w:ascii="Cambria" w:eastAsia="Times New Roman" w:hAnsi="Cambria" w:cs="Times New Roman"/>
      <w:i/>
      <w:color w:val="0F243E"/>
      <w:lang w:val="en-GB"/>
    </w:rPr>
  </w:style>
  <w:style w:type="paragraph" w:styleId="Heading5">
    <w:name w:val="heading 5"/>
    <w:basedOn w:val="Normal"/>
    <w:next w:val="Normal"/>
    <w:link w:val="Heading5Char"/>
    <w:unhideWhenUsed/>
    <w:qFormat/>
    <w:rsid w:val="00426A6F"/>
    <w:pPr>
      <w:keepNext/>
      <w:keepLines/>
      <w:spacing w:before="40" w:after="0"/>
      <w:jc w:val="both"/>
      <w:outlineLvl w:val="4"/>
    </w:pPr>
    <w:rPr>
      <w:rFonts w:ascii="Calibri" w:eastAsia="MS Gothic" w:hAnsi="Calibri" w:cs="Times New Roman"/>
      <w:color w:val="243F60"/>
    </w:rPr>
  </w:style>
  <w:style w:type="paragraph" w:styleId="Heading6">
    <w:name w:val="heading 6"/>
    <w:basedOn w:val="Normal"/>
    <w:next w:val="Normal"/>
    <w:link w:val="Heading6Char"/>
    <w:qFormat/>
    <w:rsid w:val="00426A6F"/>
    <w:pPr>
      <w:keepNext/>
      <w:spacing w:after="0" w:line="240" w:lineRule="auto"/>
      <w:jc w:val="right"/>
      <w:outlineLvl w:val="5"/>
    </w:pPr>
    <w:rPr>
      <w:rFonts w:ascii="Times New Roman" w:eastAsia="Times New Roman" w:hAnsi="Times New Roman" w:cs="Times New Roman"/>
      <w:i/>
      <w:iCs/>
      <w:sz w:val="18"/>
      <w:szCs w:val="24"/>
    </w:rPr>
  </w:style>
  <w:style w:type="paragraph" w:styleId="Heading7">
    <w:name w:val="heading 7"/>
    <w:basedOn w:val="Normal"/>
    <w:next w:val="Normal"/>
    <w:link w:val="Heading7Char"/>
    <w:qFormat/>
    <w:rsid w:val="00426A6F"/>
    <w:pPr>
      <w:keepNext/>
      <w:spacing w:after="0" w:line="240" w:lineRule="auto"/>
      <w:jc w:val="center"/>
      <w:outlineLvl w:val="6"/>
    </w:pPr>
    <w:rPr>
      <w:rFonts w:ascii="Times New Roman" w:eastAsia="Times New Roman" w:hAnsi="Times New Roman" w:cs="Times New Roman"/>
      <w:b/>
      <w:bCs/>
      <w:color w:val="FF0000"/>
      <w:sz w:val="16"/>
      <w:szCs w:val="24"/>
    </w:rPr>
  </w:style>
  <w:style w:type="paragraph" w:styleId="Heading8">
    <w:name w:val="heading 8"/>
    <w:basedOn w:val="Normal"/>
    <w:next w:val="Normal"/>
    <w:link w:val="Heading8Char"/>
    <w:qFormat/>
    <w:rsid w:val="00426A6F"/>
    <w:pPr>
      <w:keepNext/>
      <w:spacing w:after="0" w:line="240" w:lineRule="auto"/>
      <w:jc w:val="both"/>
      <w:outlineLvl w:val="7"/>
    </w:pPr>
    <w:rPr>
      <w:rFonts w:ascii="Times New Roman" w:eastAsia="Times New Roman" w:hAnsi="Times New Roman" w:cs="Times New Roman"/>
      <w:i/>
      <w:iCs/>
      <w:sz w:val="24"/>
      <w:szCs w:val="24"/>
    </w:rPr>
  </w:style>
  <w:style w:type="paragraph" w:styleId="Heading9">
    <w:name w:val="heading 9"/>
    <w:aliases w:val="txt"/>
    <w:basedOn w:val="Normal"/>
    <w:next w:val="Normal"/>
    <w:link w:val="Heading9Char"/>
    <w:qFormat/>
    <w:rsid w:val="00426A6F"/>
    <w:pPr>
      <w:keepNext/>
      <w:spacing w:before="360" w:after="120" w:line="240" w:lineRule="auto"/>
      <w:jc w:val="both"/>
      <w:outlineLvl w:val="8"/>
    </w:pPr>
    <w:rPr>
      <w:rFonts w:ascii="Times New Roman" w:eastAsia="Times New Roman" w:hAnsi="Times New Roman" w:cs="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6A6F"/>
    <w:rPr>
      <w:rFonts w:ascii="Cambria" w:eastAsia="MS Gothic" w:hAnsi="Cambria" w:cs="Times New Roman"/>
      <w:b/>
      <w:bCs/>
      <w:color w:val="365F91"/>
      <w:sz w:val="28"/>
      <w:szCs w:val="28"/>
    </w:rPr>
  </w:style>
  <w:style w:type="character" w:customStyle="1" w:styleId="Heading2Char">
    <w:name w:val="Heading 2 Char"/>
    <w:basedOn w:val="DefaultParagraphFont"/>
    <w:link w:val="Heading2"/>
    <w:rsid w:val="00426A6F"/>
    <w:rPr>
      <w:rFonts w:ascii="Cambria" w:eastAsia="Times New Roman" w:hAnsi="Cambria" w:cs="Times New Roman"/>
      <w:b/>
      <w:bCs/>
      <w:color w:val="4F81BD"/>
      <w:sz w:val="26"/>
      <w:szCs w:val="26"/>
    </w:rPr>
  </w:style>
  <w:style w:type="character" w:customStyle="1" w:styleId="Heading3Char">
    <w:name w:val="Heading 3 Char"/>
    <w:aliases w:val="text Char"/>
    <w:basedOn w:val="DefaultParagraphFont"/>
    <w:link w:val="Heading3"/>
    <w:rsid w:val="00426A6F"/>
    <w:rPr>
      <w:rFonts w:ascii="Times New Roman" w:eastAsia="MS Gothic" w:hAnsi="Times New Roman" w:cs="Times New Roman"/>
      <w:b/>
      <w:bCs/>
      <w:i/>
      <w:color w:val="4F81BD"/>
      <w:sz w:val="24"/>
      <w:szCs w:val="24"/>
    </w:rPr>
  </w:style>
  <w:style w:type="character" w:customStyle="1" w:styleId="Heading4Char">
    <w:name w:val="Heading 4 Char"/>
    <w:basedOn w:val="DefaultParagraphFont"/>
    <w:link w:val="Heading4"/>
    <w:rsid w:val="00426A6F"/>
    <w:rPr>
      <w:rFonts w:ascii="Cambria" w:eastAsia="Times New Roman" w:hAnsi="Cambria" w:cs="Times New Roman"/>
      <w:i/>
      <w:color w:val="0F243E"/>
      <w:lang w:val="en-GB"/>
    </w:rPr>
  </w:style>
  <w:style w:type="character" w:customStyle="1" w:styleId="Heading5Char">
    <w:name w:val="Heading 5 Char"/>
    <w:basedOn w:val="DefaultParagraphFont"/>
    <w:link w:val="Heading5"/>
    <w:rsid w:val="00426A6F"/>
    <w:rPr>
      <w:rFonts w:ascii="Calibri" w:eastAsia="MS Gothic" w:hAnsi="Calibri" w:cs="Times New Roman"/>
      <w:color w:val="243F60"/>
    </w:rPr>
  </w:style>
  <w:style w:type="character" w:customStyle="1" w:styleId="Heading6Char">
    <w:name w:val="Heading 6 Char"/>
    <w:basedOn w:val="DefaultParagraphFont"/>
    <w:link w:val="Heading6"/>
    <w:rsid w:val="00426A6F"/>
    <w:rPr>
      <w:rFonts w:ascii="Times New Roman" w:eastAsia="Times New Roman" w:hAnsi="Times New Roman" w:cs="Times New Roman"/>
      <w:i/>
      <w:iCs/>
      <w:sz w:val="18"/>
      <w:szCs w:val="24"/>
    </w:rPr>
  </w:style>
  <w:style w:type="character" w:customStyle="1" w:styleId="Heading7Char">
    <w:name w:val="Heading 7 Char"/>
    <w:basedOn w:val="DefaultParagraphFont"/>
    <w:link w:val="Heading7"/>
    <w:rsid w:val="00426A6F"/>
    <w:rPr>
      <w:rFonts w:ascii="Times New Roman" w:eastAsia="Times New Roman" w:hAnsi="Times New Roman" w:cs="Times New Roman"/>
      <w:b/>
      <w:bCs/>
      <w:color w:val="FF0000"/>
      <w:sz w:val="16"/>
      <w:szCs w:val="24"/>
    </w:rPr>
  </w:style>
  <w:style w:type="character" w:customStyle="1" w:styleId="Heading8Char">
    <w:name w:val="Heading 8 Char"/>
    <w:basedOn w:val="DefaultParagraphFont"/>
    <w:link w:val="Heading8"/>
    <w:rsid w:val="00426A6F"/>
    <w:rPr>
      <w:rFonts w:ascii="Times New Roman" w:eastAsia="Times New Roman" w:hAnsi="Times New Roman" w:cs="Times New Roman"/>
      <w:i/>
      <w:iCs/>
      <w:sz w:val="24"/>
      <w:szCs w:val="24"/>
    </w:rPr>
  </w:style>
  <w:style w:type="character" w:customStyle="1" w:styleId="Heading9Char">
    <w:name w:val="Heading 9 Char"/>
    <w:aliases w:val="txt Char"/>
    <w:basedOn w:val="DefaultParagraphFont"/>
    <w:link w:val="Heading9"/>
    <w:rsid w:val="00426A6F"/>
    <w:rPr>
      <w:rFonts w:ascii="Times New Roman" w:eastAsia="Times New Roman" w:hAnsi="Times New Roman" w:cs="Times New Roman"/>
      <w:b/>
    </w:rPr>
  </w:style>
  <w:style w:type="numbering" w:customStyle="1" w:styleId="NoList1">
    <w:name w:val="No List1"/>
    <w:next w:val="NoList"/>
    <w:uiPriority w:val="99"/>
    <w:semiHidden/>
    <w:unhideWhenUsed/>
    <w:rsid w:val="00426A6F"/>
  </w:style>
  <w:style w:type="paragraph" w:styleId="Caption">
    <w:name w:val="caption"/>
    <w:basedOn w:val="Normal"/>
    <w:next w:val="Normal"/>
    <w:link w:val="CaptionChar"/>
    <w:uiPriority w:val="35"/>
    <w:unhideWhenUsed/>
    <w:qFormat/>
    <w:rsid w:val="00426A6F"/>
    <w:pPr>
      <w:keepNext/>
      <w:spacing w:after="0" w:line="240" w:lineRule="auto"/>
      <w:jc w:val="center"/>
    </w:pPr>
    <w:rPr>
      <w:b/>
      <w:iCs/>
    </w:rPr>
  </w:style>
  <w:style w:type="paragraph" w:styleId="FootnoteText">
    <w:name w:val="footnote text"/>
    <w:aliases w:val="single space,footnote text,fn,FOOTNOTES,ADB,Char,Fußnotentext Char,Footnote text,Footnote Text Char1,Footnote Text Char2 Char,Footnote Text Char1 Char Char,Footnote Text Char2 Char Char Char,Footnote Text Char1 Char Char Char Char,ft,Cha,f"/>
    <w:basedOn w:val="Normal"/>
    <w:link w:val="FootnoteTextChar"/>
    <w:uiPriority w:val="99"/>
    <w:unhideWhenUsed/>
    <w:qFormat/>
    <w:rsid w:val="00426A6F"/>
    <w:pPr>
      <w:spacing w:after="0" w:line="240" w:lineRule="auto"/>
      <w:jc w:val="both"/>
    </w:pPr>
    <w:rPr>
      <w:sz w:val="18"/>
      <w:szCs w:val="18"/>
    </w:rPr>
  </w:style>
  <w:style w:type="character" w:customStyle="1" w:styleId="FootnoteTextChar">
    <w:name w:val="Footnote Text Char"/>
    <w:aliases w:val="single space Char,footnote text Char,fn Char,FOOTNOTES Char,ADB Char,Char Char,Fußnotentext Char Char,Footnote text Char,Footnote Text Char1 Char,Footnote Text Char2 Char Char,Footnote Text Char1 Char Char Char,ft Char,Cha Char,f Char"/>
    <w:basedOn w:val="DefaultParagraphFont"/>
    <w:link w:val="FootnoteText"/>
    <w:uiPriority w:val="99"/>
    <w:rsid w:val="00426A6F"/>
    <w:rPr>
      <w:sz w:val="18"/>
      <w:szCs w:val="18"/>
    </w:rPr>
  </w:style>
  <w:style w:type="character" w:styleId="FootnoteReference">
    <w:name w:val="footnote reference"/>
    <w:aliases w:val="ftref,Знак сноски-FN,16 Point,Superscript 6 Point,Footnote Reference Superscript,Footnote symbol,Footnote Reference Number,Footnote Reference_LVL6,Footnote Reference_LVL61,Footnote Reference_LVL62,Footnote Reference_LVL63,fr,BVI fnr"/>
    <w:basedOn w:val="DefaultParagraphFont"/>
    <w:unhideWhenUsed/>
    <w:qFormat/>
    <w:rsid w:val="00426A6F"/>
    <w:rPr>
      <w:vertAlign w:val="superscript"/>
    </w:rPr>
  </w:style>
  <w:style w:type="paragraph" w:customStyle="1" w:styleId="Heading11">
    <w:name w:val="Heading 11"/>
    <w:basedOn w:val="Normal"/>
    <w:next w:val="Normal"/>
    <w:uiPriority w:val="9"/>
    <w:qFormat/>
    <w:rsid w:val="00426A6F"/>
    <w:pPr>
      <w:keepNext/>
      <w:keepLines/>
      <w:spacing w:before="480" w:after="0" w:line="276" w:lineRule="auto"/>
      <w:jc w:val="both"/>
      <w:outlineLvl w:val="0"/>
    </w:pPr>
    <w:rPr>
      <w:rFonts w:ascii="Cambria" w:eastAsia="Times New Roman" w:hAnsi="Cambria" w:cs="Times New Roman"/>
      <w:b/>
      <w:bCs/>
      <w:color w:val="365F91"/>
      <w:sz w:val="28"/>
      <w:szCs w:val="28"/>
    </w:rPr>
  </w:style>
  <w:style w:type="paragraph" w:customStyle="1" w:styleId="Heading21">
    <w:name w:val="Heading 21"/>
    <w:basedOn w:val="Normal"/>
    <w:next w:val="Normal"/>
    <w:uiPriority w:val="9"/>
    <w:unhideWhenUsed/>
    <w:qFormat/>
    <w:rsid w:val="00426A6F"/>
    <w:pPr>
      <w:keepNext/>
      <w:keepLines/>
      <w:spacing w:before="200" w:after="0" w:line="276" w:lineRule="auto"/>
      <w:jc w:val="both"/>
      <w:outlineLvl w:val="1"/>
    </w:pPr>
    <w:rPr>
      <w:rFonts w:ascii="Cambria" w:eastAsia="Times New Roman" w:hAnsi="Cambria" w:cs="Times New Roman"/>
      <w:b/>
      <w:bCs/>
      <w:color w:val="4F81BD"/>
      <w:sz w:val="26"/>
      <w:szCs w:val="26"/>
    </w:rPr>
  </w:style>
  <w:style w:type="numbering" w:customStyle="1" w:styleId="NoList11">
    <w:name w:val="No List11"/>
    <w:next w:val="NoList"/>
    <w:uiPriority w:val="99"/>
    <w:semiHidden/>
    <w:unhideWhenUsed/>
    <w:rsid w:val="00426A6F"/>
  </w:style>
  <w:style w:type="paragraph" w:customStyle="1" w:styleId="Title1">
    <w:name w:val="Title1"/>
    <w:basedOn w:val="Normal"/>
    <w:next w:val="Normal"/>
    <w:uiPriority w:val="10"/>
    <w:qFormat/>
    <w:rsid w:val="00426A6F"/>
    <w:pPr>
      <w:pBdr>
        <w:bottom w:val="single" w:sz="8" w:space="4" w:color="4F81BD"/>
      </w:pBdr>
      <w:spacing w:after="300" w:line="240" w:lineRule="auto"/>
      <w:contextualSpacing/>
      <w:jc w:val="both"/>
    </w:pPr>
    <w:rPr>
      <w:rFonts w:ascii="Cambria" w:eastAsia="Times New Roman" w:hAnsi="Cambria" w:cs="Times New Roman"/>
      <w:color w:val="17365D"/>
      <w:spacing w:val="5"/>
      <w:kern w:val="28"/>
      <w:sz w:val="52"/>
      <w:szCs w:val="52"/>
    </w:rPr>
  </w:style>
  <w:style w:type="character" w:customStyle="1" w:styleId="TitleChar">
    <w:name w:val="Title Char"/>
    <w:basedOn w:val="DefaultParagraphFont"/>
    <w:link w:val="Title"/>
    <w:rsid w:val="00426A6F"/>
    <w:rPr>
      <w:rFonts w:ascii="Cambria" w:eastAsia="Times New Roman" w:hAnsi="Cambria" w:cs="Times New Roman"/>
      <w:color w:val="17365D"/>
      <w:spacing w:val="5"/>
      <w:kern w:val="28"/>
      <w:sz w:val="52"/>
      <w:szCs w:val="52"/>
    </w:rPr>
  </w:style>
  <w:style w:type="paragraph" w:customStyle="1" w:styleId="ListParagraph1">
    <w:name w:val="List Paragraph1"/>
    <w:basedOn w:val="Normal"/>
    <w:next w:val="ListParagraph"/>
    <w:uiPriority w:val="34"/>
    <w:qFormat/>
    <w:rsid w:val="00426A6F"/>
    <w:pPr>
      <w:spacing w:after="200" w:line="276" w:lineRule="auto"/>
      <w:ind w:left="720"/>
      <w:contextualSpacing/>
      <w:jc w:val="both"/>
    </w:pPr>
  </w:style>
  <w:style w:type="paragraph" w:customStyle="1" w:styleId="BalloonText1">
    <w:name w:val="Balloon Text1"/>
    <w:basedOn w:val="Normal"/>
    <w:next w:val="BalloonText"/>
    <w:link w:val="BalloonTextChar"/>
    <w:uiPriority w:val="99"/>
    <w:semiHidden/>
    <w:unhideWhenUsed/>
    <w:rsid w:val="00426A6F"/>
    <w:pPr>
      <w:spacing w:after="0" w:line="240" w:lineRule="auto"/>
      <w:jc w:val="both"/>
    </w:pPr>
    <w:rPr>
      <w:rFonts w:ascii="Tahoma" w:hAnsi="Tahoma" w:cs="Tahoma"/>
      <w:sz w:val="16"/>
      <w:szCs w:val="16"/>
    </w:rPr>
  </w:style>
  <w:style w:type="character" w:customStyle="1" w:styleId="BalloonTextChar">
    <w:name w:val="Balloon Text Char"/>
    <w:basedOn w:val="DefaultParagraphFont"/>
    <w:link w:val="BalloonText1"/>
    <w:uiPriority w:val="99"/>
    <w:semiHidden/>
    <w:rsid w:val="00426A6F"/>
    <w:rPr>
      <w:rFonts w:ascii="Tahoma" w:hAnsi="Tahoma" w:cs="Tahoma"/>
      <w:sz w:val="16"/>
      <w:szCs w:val="16"/>
    </w:rPr>
  </w:style>
  <w:style w:type="character" w:styleId="CommentReference">
    <w:name w:val="annotation reference"/>
    <w:basedOn w:val="DefaultParagraphFont"/>
    <w:unhideWhenUsed/>
    <w:rsid w:val="00426A6F"/>
    <w:rPr>
      <w:sz w:val="18"/>
      <w:szCs w:val="18"/>
    </w:rPr>
  </w:style>
  <w:style w:type="paragraph" w:customStyle="1" w:styleId="CommentText1">
    <w:name w:val="Comment Text1"/>
    <w:basedOn w:val="Normal"/>
    <w:next w:val="CommentText"/>
    <w:link w:val="CommentTextChar"/>
    <w:uiPriority w:val="99"/>
    <w:semiHidden/>
    <w:unhideWhenUsed/>
    <w:rsid w:val="00426A6F"/>
    <w:pPr>
      <w:spacing w:after="0" w:line="240" w:lineRule="auto"/>
      <w:jc w:val="both"/>
    </w:pPr>
    <w:rPr>
      <w:rFonts w:eastAsia="Times New Roman"/>
      <w:sz w:val="24"/>
      <w:szCs w:val="24"/>
    </w:rPr>
  </w:style>
  <w:style w:type="character" w:customStyle="1" w:styleId="CommentTextChar">
    <w:name w:val="Comment Text Char"/>
    <w:basedOn w:val="DefaultParagraphFont"/>
    <w:link w:val="CommentText1"/>
    <w:uiPriority w:val="99"/>
    <w:semiHidden/>
    <w:rsid w:val="00426A6F"/>
    <w:rPr>
      <w:rFonts w:eastAsia="Times New Roman"/>
      <w:sz w:val="24"/>
      <w:szCs w:val="24"/>
    </w:rPr>
  </w:style>
  <w:style w:type="paragraph" w:customStyle="1" w:styleId="NormalWeb1">
    <w:name w:val="Normal (Web)1"/>
    <w:basedOn w:val="Normal"/>
    <w:next w:val="NormalWeb"/>
    <w:uiPriority w:val="99"/>
    <w:semiHidden/>
    <w:unhideWhenUsed/>
    <w:rsid w:val="00426A6F"/>
    <w:pP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CommentSubject1">
    <w:name w:val="Comment Subject1"/>
    <w:basedOn w:val="CommentText"/>
    <w:next w:val="CommentText"/>
    <w:uiPriority w:val="99"/>
    <w:semiHidden/>
    <w:unhideWhenUsed/>
    <w:rsid w:val="00426A6F"/>
    <w:pPr>
      <w:spacing w:after="200"/>
    </w:pPr>
    <w:rPr>
      <w:b/>
      <w:bCs/>
    </w:rPr>
  </w:style>
  <w:style w:type="character" w:customStyle="1" w:styleId="CommentSubjectChar">
    <w:name w:val="Comment Subject Char"/>
    <w:basedOn w:val="CommentTextChar"/>
    <w:link w:val="CommentSubject"/>
    <w:rsid w:val="00426A6F"/>
    <w:rPr>
      <w:rFonts w:eastAsia="Times New Roman"/>
      <w:b/>
      <w:bCs/>
      <w:sz w:val="20"/>
      <w:szCs w:val="20"/>
    </w:rPr>
  </w:style>
  <w:style w:type="paragraph" w:customStyle="1" w:styleId="Revision1">
    <w:name w:val="Revision1"/>
    <w:next w:val="Revision"/>
    <w:hidden/>
    <w:uiPriority w:val="99"/>
    <w:semiHidden/>
    <w:rsid w:val="00426A6F"/>
    <w:pPr>
      <w:spacing w:after="0" w:line="240" w:lineRule="auto"/>
    </w:pPr>
  </w:style>
  <w:style w:type="paragraph" w:customStyle="1" w:styleId="TOC11">
    <w:name w:val="TOC 11"/>
    <w:basedOn w:val="Normal"/>
    <w:next w:val="Normal"/>
    <w:autoRedefine/>
    <w:uiPriority w:val="39"/>
    <w:unhideWhenUsed/>
    <w:rsid w:val="00426A6F"/>
    <w:pPr>
      <w:tabs>
        <w:tab w:val="right" w:leader="dot" w:pos="9350"/>
      </w:tabs>
      <w:spacing w:after="100" w:line="276" w:lineRule="auto"/>
      <w:jc w:val="both"/>
    </w:pPr>
    <w:rPr>
      <w:b/>
      <w:noProof/>
      <w:sz w:val="24"/>
      <w:szCs w:val="24"/>
    </w:rPr>
  </w:style>
  <w:style w:type="paragraph" w:customStyle="1" w:styleId="TOC21">
    <w:name w:val="TOC 21"/>
    <w:basedOn w:val="Normal"/>
    <w:next w:val="Normal"/>
    <w:autoRedefine/>
    <w:uiPriority w:val="39"/>
    <w:unhideWhenUsed/>
    <w:rsid w:val="00426A6F"/>
    <w:pPr>
      <w:spacing w:after="100" w:line="276" w:lineRule="auto"/>
      <w:ind w:left="220"/>
      <w:jc w:val="both"/>
    </w:pPr>
  </w:style>
  <w:style w:type="character" w:customStyle="1" w:styleId="Hyperlink1">
    <w:name w:val="Hyperlink1"/>
    <w:basedOn w:val="DefaultParagraphFont"/>
    <w:uiPriority w:val="99"/>
    <w:unhideWhenUsed/>
    <w:rsid w:val="00426A6F"/>
    <w:rPr>
      <w:color w:val="0000FF"/>
      <w:u w:val="single"/>
    </w:rPr>
  </w:style>
  <w:style w:type="paragraph" w:customStyle="1" w:styleId="Header1">
    <w:name w:val="Header1"/>
    <w:basedOn w:val="Normal"/>
    <w:next w:val="Header"/>
    <w:link w:val="HeaderChar"/>
    <w:uiPriority w:val="99"/>
    <w:unhideWhenUsed/>
    <w:rsid w:val="00426A6F"/>
    <w:pPr>
      <w:tabs>
        <w:tab w:val="center" w:pos="4680"/>
        <w:tab w:val="right" w:pos="9360"/>
      </w:tabs>
      <w:spacing w:after="0" w:line="240" w:lineRule="auto"/>
      <w:jc w:val="both"/>
    </w:pPr>
  </w:style>
  <w:style w:type="character" w:customStyle="1" w:styleId="HeaderChar">
    <w:name w:val="Header Char"/>
    <w:basedOn w:val="DefaultParagraphFont"/>
    <w:link w:val="Header1"/>
    <w:uiPriority w:val="99"/>
    <w:rsid w:val="00426A6F"/>
  </w:style>
  <w:style w:type="paragraph" w:customStyle="1" w:styleId="Footer1">
    <w:name w:val="Footer1"/>
    <w:basedOn w:val="Normal"/>
    <w:next w:val="Footer"/>
    <w:link w:val="FooterChar"/>
    <w:uiPriority w:val="99"/>
    <w:unhideWhenUsed/>
    <w:rsid w:val="00426A6F"/>
    <w:pPr>
      <w:tabs>
        <w:tab w:val="center" w:pos="4680"/>
        <w:tab w:val="right" w:pos="9360"/>
      </w:tabs>
      <w:spacing w:after="0" w:line="240" w:lineRule="auto"/>
      <w:jc w:val="both"/>
    </w:pPr>
  </w:style>
  <w:style w:type="character" w:customStyle="1" w:styleId="FooterChar">
    <w:name w:val="Footer Char"/>
    <w:basedOn w:val="DefaultParagraphFont"/>
    <w:link w:val="Footer1"/>
    <w:uiPriority w:val="99"/>
    <w:rsid w:val="00426A6F"/>
  </w:style>
  <w:style w:type="paragraph" w:customStyle="1" w:styleId="TableofFigures1">
    <w:name w:val="Table of Figures1"/>
    <w:basedOn w:val="Normal"/>
    <w:next w:val="Normal"/>
    <w:uiPriority w:val="99"/>
    <w:unhideWhenUsed/>
    <w:rsid w:val="00426A6F"/>
    <w:pPr>
      <w:spacing w:after="0" w:line="276" w:lineRule="auto"/>
      <w:jc w:val="both"/>
    </w:pPr>
  </w:style>
  <w:style w:type="table" w:customStyle="1" w:styleId="TableGrid1">
    <w:name w:val="Table Grid1"/>
    <w:basedOn w:val="TableNormal"/>
    <w:next w:val="TableGrid"/>
    <w:uiPriority w:val="59"/>
    <w:rsid w:val="00426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semiHidden/>
    <w:unhideWhenUsed/>
    <w:qFormat/>
    <w:rsid w:val="00426A6F"/>
  </w:style>
  <w:style w:type="paragraph" w:customStyle="1" w:styleId="Outline">
    <w:name w:val="Outline"/>
    <w:basedOn w:val="Normal"/>
    <w:rsid w:val="00426A6F"/>
    <w:pPr>
      <w:spacing w:before="240" w:after="0" w:line="240" w:lineRule="auto"/>
      <w:jc w:val="both"/>
    </w:pPr>
    <w:rPr>
      <w:rFonts w:ascii="Times New Roman" w:eastAsia="Times New Roman" w:hAnsi="Times New Roman" w:cs="Times New Roman"/>
      <w:kern w:val="28"/>
      <w:sz w:val="24"/>
      <w:szCs w:val="20"/>
    </w:rPr>
  </w:style>
  <w:style w:type="paragraph" w:customStyle="1" w:styleId="TOC31">
    <w:name w:val="TOC 31"/>
    <w:basedOn w:val="Normal"/>
    <w:next w:val="Normal"/>
    <w:autoRedefine/>
    <w:uiPriority w:val="39"/>
    <w:semiHidden/>
    <w:unhideWhenUsed/>
    <w:rsid w:val="00426A6F"/>
    <w:pPr>
      <w:spacing w:after="100" w:line="276" w:lineRule="auto"/>
      <w:ind w:left="440"/>
      <w:jc w:val="both"/>
    </w:pPr>
  </w:style>
  <w:style w:type="character" w:styleId="Emphasis">
    <w:name w:val="Emphasis"/>
    <w:basedOn w:val="DefaultParagraphFont"/>
    <w:qFormat/>
    <w:rsid w:val="00426A6F"/>
    <w:rPr>
      <w:b/>
      <w:bCs/>
      <w:i w:val="0"/>
      <w:iCs w:val="0"/>
    </w:rPr>
  </w:style>
  <w:style w:type="character" w:customStyle="1" w:styleId="st">
    <w:name w:val="st"/>
    <w:basedOn w:val="DefaultParagraphFont"/>
    <w:rsid w:val="00426A6F"/>
  </w:style>
  <w:style w:type="character" w:customStyle="1" w:styleId="Heading1Char1">
    <w:name w:val="Heading 1 Char1"/>
    <w:basedOn w:val="DefaultParagraphFont"/>
    <w:rsid w:val="00426A6F"/>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426A6F"/>
    <w:rPr>
      <w:rFonts w:asciiTheme="majorHAnsi" w:eastAsiaTheme="majorEastAsia" w:hAnsiTheme="majorHAnsi" w:cstheme="majorBidi"/>
      <w:color w:val="2E74B5" w:themeColor="accent1" w:themeShade="BF"/>
      <w:sz w:val="26"/>
      <w:szCs w:val="26"/>
    </w:rPr>
  </w:style>
  <w:style w:type="paragraph" w:styleId="Title">
    <w:name w:val="Title"/>
    <w:basedOn w:val="Normal"/>
    <w:next w:val="Normal"/>
    <w:link w:val="TitleChar"/>
    <w:qFormat/>
    <w:rsid w:val="00426A6F"/>
    <w:pPr>
      <w:spacing w:after="0" w:line="240" w:lineRule="auto"/>
      <w:contextualSpacing/>
      <w:jc w:val="both"/>
    </w:pPr>
    <w:rPr>
      <w:rFonts w:ascii="Cambria" w:eastAsia="Times New Roman" w:hAnsi="Cambria" w:cs="Times New Roman"/>
      <w:color w:val="17365D"/>
      <w:spacing w:val="5"/>
      <w:kern w:val="28"/>
      <w:sz w:val="52"/>
      <w:szCs w:val="52"/>
    </w:rPr>
  </w:style>
  <w:style w:type="character" w:customStyle="1" w:styleId="TitleChar1">
    <w:name w:val="Title Char1"/>
    <w:basedOn w:val="DefaultParagraphFont"/>
    <w:uiPriority w:val="10"/>
    <w:rsid w:val="00426A6F"/>
    <w:rPr>
      <w:rFonts w:asciiTheme="majorHAnsi" w:eastAsiaTheme="majorEastAsia" w:hAnsiTheme="majorHAnsi" w:cstheme="majorBidi"/>
      <w:spacing w:val="-10"/>
      <w:kern w:val="28"/>
      <w:sz w:val="56"/>
      <w:szCs w:val="56"/>
    </w:rPr>
  </w:style>
  <w:style w:type="paragraph" w:styleId="ListParagraph">
    <w:name w:val="List Paragraph"/>
    <w:aliases w:val="List Paragraph (numbered (a)),Numbered List Paragraph,Main numbered paragraph,List_Paragraph,Multilevel para_II,Bullets1,Citation List,Resume Title,Graphic,Table of contents numbered,List Paragraph Char Char,Heading 2_sj,Report Para"/>
    <w:basedOn w:val="Normal"/>
    <w:link w:val="ListParagraphChar"/>
    <w:uiPriority w:val="34"/>
    <w:qFormat/>
    <w:rsid w:val="00426A6F"/>
    <w:pPr>
      <w:ind w:left="720"/>
      <w:contextualSpacing/>
      <w:jc w:val="both"/>
    </w:pPr>
  </w:style>
  <w:style w:type="paragraph" w:styleId="BalloonText">
    <w:name w:val="Balloon Text"/>
    <w:basedOn w:val="Normal"/>
    <w:link w:val="BalloonTextChar1"/>
    <w:semiHidden/>
    <w:unhideWhenUsed/>
    <w:rsid w:val="00426A6F"/>
    <w:pPr>
      <w:spacing w:after="0" w:line="240" w:lineRule="auto"/>
      <w:jc w:val="both"/>
    </w:pPr>
    <w:rPr>
      <w:rFonts w:ascii="Segoe UI" w:hAnsi="Segoe UI" w:cs="Segoe UI"/>
      <w:sz w:val="18"/>
      <w:szCs w:val="18"/>
    </w:rPr>
  </w:style>
  <w:style w:type="character" w:customStyle="1" w:styleId="BalloonTextChar1">
    <w:name w:val="Balloon Text Char1"/>
    <w:basedOn w:val="DefaultParagraphFont"/>
    <w:link w:val="BalloonText"/>
    <w:semiHidden/>
    <w:rsid w:val="00426A6F"/>
    <w:rPr>
      <w:rFonts w:ascii="Segoe UI" w:hAnsi="Segoe UI" w:cs="Segoe UI"/>
      <w:sz w:val="18"/>
      <w:szCs w:val="18"/>
    </w:rPr>
  </w:style>
  <w:style w:type="paragraph" w:styleId="CommentText">
    <w:name w:val="annotation text"/>
    <w:basedOn w:val="Normal"/>
    <w:link w:val="CommentTextChar1"/>
    <w:uiPriority w:val="99"/>
    <w:unhideWhenUsed/>
    <w:rsid w:val="00426A6F"/>
    <w:pPr>
      <w:spacing w:line="240" w:lineRule="auto"/>
      <w:jc w:val="both"/>
    </w:pPr>
    <w:rPr>
      <w:sz w:val="20"/>
      <w:szCs w:val="20"/>
    </w:rPr>
  </w:style>
  <w:style w:type="character" w:customStyle="1" w:styleId="CommentTextChar1">
    <w:name w:val="Comment Text Char1"/>
    <w:basedOn w:val="DefaultParagraphFont"/>
    <w:link w:val="CommentText"/>
    <w:uiPriority w:val="99"/>
    <w:rsid w:val="00426A6F"/>
    <w:rPr>
      <w:sz w:val="20"/>
      <w:szCs w:val="20"/>
    </w:rPr>
  </w:style>
  <w:style w:type="paragraph" w:styleId="NormalWeb">
    <w:name w:val="Normal (Web)"/>
    <w:basedOn w:val="Normal"/>
    <w:uiPriority w:val="99"/>
    <w:unhideWhenUsed/>
    <w:rsid w:val="00426A6F"/>
    <w:pPr>
      <w:jc w:val="both"/>
    </w:pPr>
    <w:rPr>
      <w:rFonts w:ascii="Times New Roman" w:hAnsi="Times New Roman" w:cs="Times New Roman"/>
      <w:sz w:val="24"/>
      <w:szCs w:val="24"/>
    </w:rPr>
  </w:style>
  <w:style w:type="paragraph" w:styleId="CommentSubject">
    <w:name w:val="annotation subject"/>
    <w:basedOn w:val="CommentText"/>
    <w:next w:val="CommentText"/>
    <w:link w:val="CommentSubjectChar"/>
    <w:unhideWhenUsed/>
    <w:rsid w:val="00426A6F"/>
    <w:rPr>
      <w:rFonts w:eastAsia="Times New Roman"/>
      <w:b/>
      <w:bCs/>
    </w:rPr>
  </w:style>
  <w:style w:type="character" w:customStyle="1" w:styleId="CommentSubjectChar1">
    <w:name w:val="Comment Subject Char1"/>
    <w:basedOn w:val="CommentTextChar1"/>
    <w:uiPriority w:val="99"/>
    <w:semiHidden/>
    <w:rsid w:val="00426A6F"/>
    <w:rPr>
      <w:b/>
      <w:bCs/>
      <w:sz w:val="20"/>
      <w:szCs w:val="20"/>
    </w:rPr>
  </w:style>
  <w:style w:type="paragraph" w:styleId="Revision">
    <w:name w:val="Revision"/>
    <w:hidden/>
    <w:uiPriority w:val="99"/>
    <w:semiHidden/>
    <w:rsid w:val="00426A6F"/>
    <w:pPr>
      <w:spacing w:after="0" w:line="240" w:lineRule="auto"/>
    </w:pPr>
  </w:style>
  <w:style w:type="character" w:styleId="Hyperlink">
    <w:name w:val="Hyperlink"/>
    <w:basedOn w:val="DefaultParagraphFont"/>
    <w:uiPriority w:val="99"/>
    <w:unhideWhenUsed/>
    <w:rsid w:val="00426A6F"/>
    <w:rPr>
      <w:color w:val="0563C1" w:themeColor="hyperlink"/>
      <w:u w:val="single"/>
    </w:rPr>
  </w:style>
  <w:style w:type="paragraph" w:styleId="Header">
    <w:name w:val="header"/>
    <w:basedOn w:val="Normal"/>
    <w:link w:val="HeaderChar1"/>
    <w:unhideWhenUsed/>
    <w:rsid w:val="00426A6F"/>
    <w:pPr>
      <w:tabs>
        <w:tab w:val="center" w:pos="4680"/>
        <w:tab w:val="right" w:pos="9360"/>
      </w:tabs>
      <w:spacing w:after="0" w:line="240" w:lineRule="auto"/>
      <w:jc w:val="both"/>
    </w:pPr>
  </w:style>
  <w:style w:type="character" w:customStyle="1" w:styleId="HeaderChar1">
    <w:name w:val="Header Char1"/>
    <w:basedOn w:val="DefaultParagraphFont"/>
    <w:link w:val="Header"/>
    <w:rsid w:val="00426A6F"/>
  </w:style>
  <w:style w:type="paragraph" w:styleId="Footer">
    <w:name w:val="footer"/>
    <w:basedOn w:val="Normal"/>
    <w:link w:val="FooterChar1"/>
    <w:uiPriority w:val="99"/>
    <w:unhideWhenUsed/>
    <w:rsid w:val="00426A6F"/>
    <w:pPr>
      <w:tabs>
        <w:tab w:val="center" w:pos="4680"/>
        <w:tab w:val="right" w:pos="9360"/>
      </w:tabs>
      <w:spacing w:after="0" w:line="240" w:lineRule="auto"/>
      <w:jc w:val="both"/>
    </w:pPr>
  </w:style>
  <w:style w:type="character" w:customStyle="1" w:styleId="FooterChar1">
    <w:name w:val="Footer Char1"/>
    <w:basedOn w:val="DefaultParagraphFont"/>
    <w:link w:val="Footer"/>
    <w:uiPriority w:val="99"/>
    <w:rsid w:val="00426A6F"/>
  </w:style>
  <w:style w:type="table" w:styleId="TableGrid">
    <w:name w:val="Table Grid"/>
    <w:basedOn w:val="TableNormal"/>
    <w:uiPriority w:val="39"/>
    <w:rsid w:val="00426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41">
    <w:name w:val="Heading 41"/>
    <w:basedOn w:val="Normal"/>
    <w:next w:val="Normal"/>
    <w:uiPriority w:val="9"/>
    <w:unhideWhenUsed/>
    <w:qFormat/>
    <w:rsid w:val="00426A6F"/>
    <w:pPr>
      <w:keepNext/>
      <w:keepLines/>
      <w:spacing w:before="200" w:after="0" w:line="240" w:lineRule="auto"/>
      <w:jc w:val="both"/>
      <w:outlineLvl w:val="3"/>
    </w:pPr>
    <w:rPr>
      <w:rFonts w:ascii="Calibri" w:eastAsia="MS Gothic" w:hAnsi="Calibri" w:cs="Times New Roman"/>
      <w:b/>
      <w:bCs/>
      <w:i/>
      <w:iCs/>
      <w:color w:val="4F81BD"/>
      <w:sz w:val="24"/>
      <w:szCs w:val="24"/>
    </w:rPr>
  </w:style>
  <w:style w:type="paragraph" w:customStyle="1" w:styleId="Heading51">
    <w:name w:val="Heading 51"/>
    <w:basedOn w:val="Normal"/>
    <w:next w:val="Normal"/>
    <w:uiPriority w:val="9"/>
    <w:unhideWhenUsed/>
    <w:qFormat/>
    <w:rsid w:val="00426A6F"/>
    <w:pPr>
      <w:keepNext/>
      <w:keepLines/>
      <w:spacing w:before="200" w:after="0" w:line="240" w:lineRule="auto"/>
      <w:jc w:val="both"/>
      <w:outlineLvl w:val="4"/>
    </w:pPr>
    <w:rPr>
      <w:rFonts w:ascii="Calibri" w:eastAsia="MS Gothic" w:hAnsi="Calibri" w:cs="Times New Roman"/>
      <w:color w:val="243F60"/>
      <w:sz w:val="24"/>
      <w:szCs w:val="24"/>
    </w:rPr>
  </w:style>
  <w:style w:type="numbering" w:customStyle="1" w:styleId="NoList2">
    <w:name w:val="No List2"/>
    <w:next w:val="NoList"/>
    <w:uiPriority w:val="99"/>
    <w:semiHidden/>
    <w:unhideWhenUsed/>
    <w:rsid w:val="00426A6F"/>
  </w:style>
  <w:style w:type="paragraph" w:styleId="EndnoteText">
    <w:name w:val="endnote text"/>
    <w:basedOn w:val="Normal"/>
    <w:link w:val="EndnoteTextChar"/>
    <w:uiPriority w:val="99"/>
    <w:semiHidden/>
    <w:unhideWhenUsed/>
    <w:rsid w:val="00426A6F"/>
    <w:pPr>
      <w:spacing w:after="0" w:line="240" w:lineRule="auto"/>
      <w:jc w:val="both"/>
    </w:pPr>
    <w:rPr>
      <w:rFonts w:ascii="Times New Roman" w:eastAsia="MS Mincho" w:hAnsi="Times New Roman"/>
      <w:sz w:val="24"/>
      <w:szCs w:val="24"/>
    </w:rPr>
  </w:style>
  <w:style w:type="character" w:customStyle="1" w:styleId="EndnoteTextChar">
    <w:name w:val="Endnote Text Char"/>
    <w:basedOn w:val="DefaultParagraphFont"/>
    <w:link w:val="EndnoteText"/>
    <w:uiPriority w:val="99"/>
    <w:semiHidden/>
    <w:rsid w:val="00426A6F"/>
    <w:rPr>
      <w:rFonts w:ascii="Times New Roman" w:eastAsia="MS Mincho" w:hAnsi="Times New Roman"/>
      <w:sz w:val="24"/>
      <w:szCs w:val="24"/>
    </w:rPr>
  </w:style>
  <w:style w:type="character" w:styleId="EndnoteReference">
    <w:name w:val="endnote reference"/>
    <w:basedOn w:val="DefaultParagraphFont"/>
    <w:uiPriority w:val="99"/>
    <w:semiHidden/>
    <w:unhideWhenUsed/>
    <w:rsid w:val="00426A6F"/>
    <w:rPr>
      <w:vertAlign w:val="superscript"/>
    </w:rPr>
  </w:style>
  <w:style w:type="character" w:styleId="PageNumber">
    <w:name w:val="page number"/>
    <w:basedOn w:val="DefaultParagraphFont"/>
    <w:unhideWhenUsed/>
    <w:rsid w:val="00426A6F"/>
  </w:style>
  <w:style w:type="paragraph" w:styleId="TOCHeading">
    <w:name w:val="TOC Heading"/>
    <w:basedOn w:val="Heading1"/>
    <w:next w:val="Normal"/>
    <w:uiPriority w:val="39"/>
    <w:unhideWhenUsed/>
    <w:qFormat/>
    <w:rsid w:val="00426A6F"/>
    <w:pPr>
      <w:spacing w:before="0" w:line="276" w:lineRule="auto"/>
      <w:jc w:val="both"/>
      <w:outlineLvl w:val="9"/>
    </w:pPr>
    <w:rPr>
      <w:rFonts w:ascii="Times" w:hAnsi="Times"/>
      <w:color w:val="4F81BD"/>
    </w:rPr>
  </w:style>
  <w:style w:type="paragraph" w:styleId="TOC1">
    <w:name w:val="toc 1"/>
    <w:basedOn w:val="Normal"/>
    <w:next w:val="Normal"/>
    <w:autoRedefine/>
    <w:uiPriority w:val="39"/>
    <w:unhideWhenUsed/>
    <w:rsid w:val="00426A6F"/>
    <w:pPr>
      <w:tabs>
        <w:tab w:val="right" w:leader="dot" w:pos="9620"/>
      </w:tabs>
      <w:spacing w:before="120" w:after="120" w:line="240" w:lineRule="auto"/>
      <w:jc w:val="both"/>
    </w:pPr>
    <w:rPr>
      <w:rFonts w:eastAsia="MS Mincho"/>
      <w:b/>
      <w:szCs w:val="24"/>
    </w:rPr>
  </w:style>
  <w:style w:type="paragraph" w:styleId="TOC2">
    <w:name w:val="toc 2"/>
    <w:basedOn w:val="Normal"/>
    <w:next w:val="Normal"/>
    <w:autoRedefine/>
    <w:uiPriority w:val="39"/>
    <w:unhideWhenUsed/>
    <w:rsid w:val="00426A6F"/>
    <w:pPr>
      <w:tabs>
        <w:tab w:val="right" w:leader="dot" w:pos="9017"/>
      </w:tabs>
      <w:spacing w:after="0" w:line="240" w:lineRule="auto"/>
      <w:ind w:left="240"/>
      <w:jc w:val="both"/>
    </w:pPr>
    <w:rPr>
      <w:rFonts w:eastAsia="MS Mincho"/>
    </w:rPr>
  </w:style>
  <w:style w:type="paragraph" w:styleId="TOC3">
    <w:name w:val="toc 3"/>
    <w:basedOn w:val="Normal"/>
    <w:next w:val="Normal"/>
    <w:autoRedefine/>
    <w:uiPriority w:val="39"/>
    <w:unhideWhenUsed/>
    <w:rsid w:val="00426A6F"/>
    <w:pPr>
      <w:tabs>
        <w:tab w:val="right" w:leader="dot" w:pos="9017"/>
      </w:tabs>
      <w:spacing w:after="0" w:line="240" w:lineRule="auto"/>
      <w:ind w:left="480"/>
      <w:jc w:val="both"/>
    </w:pPr>
    <w:rPr>
      <w:rFonts w:eastAsia="MS Mincho"/>
    </w:rPr>
  </w:style>
  <w:style w:type="paragraph" w:styleId="TOC4">
    <w:name w:val="toc 4"/>
    <w:basedOn w:val="Normal"/>
    <w:next w:val="Normal"/>
    <w:autoRedefine/>
    <w:uiPriority w:val="39"/>
    <w:unhideWhenUsed/>
    <w:rsid w:val="00426A6F"/>
    <w:pPr>
      <w:spacing w:after="0" w:line="240" w:lineRule="auto"/>
      <w:ind w:left="720"/>
      <w:jc w:val="both"/>
    </w:pPr>
    <w:rPr>
      <w:rFonts w:ascii="Times New Roman" w:eastAsia="MS Mincho" w:hAnsi="Times New Roman"/>
      <w:sz w:val="20"/>
      <w:szCs w:val="20"/>
    </w:rPr>
  </w:style>
  <w:style w:type="paragraph" w:styleId="TOC5">
    <w:name w:val="toc 5"/>
    <w:basedOn w:val="Normal"/>
    <w:next w:val="Normal"/>
    <w:autoRedefine/>
    <w:uiPriority w:val="39"/>
    <w:unhideWhenUsed/>
    <w:rsid w:val="00426A6F"/>
    <w:pPr>
      <w:spacing w:after="0" w:line="240" w:lineRule="auto"/>
      <w:ind w:left="960"/>
      <w:jc w:val="both"/>
    </w:pPr>
    <w:rPr>
      <w:rFonts w:ascii="Times New Roman" w:eastAsia="MS Mincho" w:hAnsi="Times New Roman"/>
      <w:sz w:val="20"/>
      <w:szCs w:val="20"/>
    </w:rPr>
  </w:style>
  <w:style w:type="paragraph" w:styleId="TOC6">
    <w:name w:val="toc 6"/>
    <w:basedOn w:val="Normal"/>
    <w:next w:val="Normal"/>
    <w:autoRedefine/>
    <w:uiPriority w:val="39"/>
    <w:unhideWhenUsed/>
    <w:rsid w:val="00426A6F"/>
    <w:pPr>
      <w:spacing w:after="0" w:line="240" w:lineRule="auto"/>
      <w:ind w:left="1200"/>
      <w:jc w:val="both"/>
    </w:pPr>
    <w:rPr>
      <w:rFonts w:ascii="Times New Roman" w:eastAsia="MS Mincho" w:hAnsi="Times New Roman"/>
      <w:sz w:val="20"/>
      <w:szCs w:val="20"/>
    </w:rPr>
  </w:style>
  <w:style w:type="paragraph" w:styleId="TOC7">
    <w:name w:val="toc 7"/>
    <w:basedOn w:val="Normal"/>
    <w:next w:val="Normal"/>
    <w:autoRedefine/>
    <w:uiPriority w:val="39"/>
    <w:unhideWhenUsed/>
    <w:rsid w:val="00426A6F"/>
    <w:pPr>
      <w:spacing w:after="0" w:line="240" w:lineRule="auto"/>
      <w:ind w:left="1440"/>
      <w:jc w:val="both"/>
    </w:pPr>
    <w:rPr>
      <w:rFonts w:ascii="Times New Roman" w:eastAsia="MS Mincho" w:hAnsi="Times New Roman"/>
      <w:sz w:val="20"/>
      <w:szCs w:val="20"/>
    </w:rPr>
  </w:style>
  <w:style w:type="paragraph" w:styleId="TOC8">
    <w:name w:val="toc 8"/>
    <w:basedOn w:val="Normal"/>
    <w:next w:val="Normal"/>
    <w:autoRedefine/>
    <w:uiPriority w:val="39"/>
    <w:unhideWhenUsed/>
    <w:rsid w:val="00426A6F"/>
    <w:pPr>
      <w:spacing w:after="0" w:line="240" w:lineRule="auto"/>
      <w:ind w:left="1680"/>
      <w:jc w:val="both"/>
    </w:pPr>
    <w:rPr>
      <w:rFonts w:ascii="Times New Roman" w:eastAsia="MS Mincho" w:hAnsi="Times New Roman"/>
      <w:sz w:val="20"/>
      <w:szCs w:val="20"/>
    </w:rPr>
  </w:style>
  <w:style w:type="paragraph" w:styleId="TOC9">
    <w:name w:val="toc 9"/>
    <w:basedOn w:val="Normal"/>
    <w:next w:val="Normal"/>
    <w:autoRedefine/>
    <w:uiPriority w:val="39"/>
    <w:unhideWhenUsed/>
    <w:rsid w:val="00426A6F"/>
    <w:pPr>
      <w:spacing w:after="0" w:line="240" w:lineRule="auto"/>
      <w:ind w:left="1920"/>
      <w:jc w:val="both"/>
    </w:pPr>
    <w:rPr>
      <w:rFonts w:ascii="Times New Roman" w:eastAsia="MS Mincho" w:hAnsi="Times New Roman"/>
      <w:sz w:val="20"/>
      <w:szCs w:val="20"/>
    </w:rPr>
  </w:style>
  <w:style w:type="paragraph" w:customStyle="1" w:styleId="Figures">
    <w:name w:val="Figures"/>
    <w:basedOn w:val="TableofFigures"/>
    <w:qFormat/>
    <w:rsid w:val="00426A6F"/>
    <w:pPr>
      <w:jc w:val="center"/>
    </w:pPr>
    <w:rPr>
      <w:rFonts w:ascii="Times New Roman" w:hAnsi="Times New Roman" w:cs="Times New Roman"/>
      <w:b/>
      <w:i/>
      <w:noProof/>
    </w:rPr>
  </w:style>
  <w:style w:type="paragraph" w:styleId="TableofFigures">
    <w:name w:val="table of figures"/>
    <w:basedOn w:val="Normal"/>
    <w:next w:val="Normal"/>
    <w:uiPriority w:val="99"/>
    <w:unhideWhenUsed/>
    <w:rsid w:val="00426A6F"/>
    <w:pPr>
      <w:spacing w:after="0" w:line="240" w:lineRule="auto"/>
      <w:jc w:val="both"/>
    </w:pPr>
    <w:rPr>
      <w:rFonts w:eastAsia="MS Mincho"/>
      <w:szCs w:val="24"/>
    </w:rPr>
  </w:style>
  <w:style w:type="paragraph" w:customStyle="1" w:styleId="Tables">
    <w:name w:val="Tables"/>
    <w:basedOn w:val="Figures"/>
    <w:qFormat/>
    <w:rsid w:val="00426A6F"/>
  </w:style>
  <w:style w:type="character" w:styleId="PlaceholderText">
    <w:name w:val="Placeholder Text"/>
    <w:basedOn w:val="DefaultParagraphFont"/>
    <w:uiPriority w:val="99"/>
    <w:semiHidden/>
    <w:rsid w:val="00426A6F"/>
    <w:rPr>
      <w:color w:val="808080"/>
    </w:rPr>
  </w:style>
  <w:style w:type="paragraph" w:styleId="Bibliography">
    <w:name w:val="Bibliography"/>
    <w:basedOn w:val="Normal"/>
    <w:next w:val="Normal"/>
    <w:uiPriority w:val="37"/>
    <w:unhideWhenUsed/>
    <w:rsid w:val="00426A6F"/>
    <w:pPr>
      <w:spacing w:after="0" w:line="240" w:lineRule="auto"/>
      <w:jc w:val="both"/>
    </w:pPr>
    <w:rPr>
      <w:rFonts w:ascii="Times New Roman" w:eastAsia="MS Mincho" w:hAnsi="Times New Roman"/>
      <w:sz w:val="24"/>
      <w:szCs w:val="24"/>
    </w:rPr>
  </w:style>
  <w:style w:type="table" w:customStyle="1" w:styleId="TableGrid2">
    <w:name w:val="Table Grid2"/>
    <w:basedOn w:val="TableNormal"/>
    <w:next w:val="TableGrid"/>
    <w:uiPriority w:val="59"/>
    <w:rsid w:val="00426A6F"/>
    <w:pPr>
      <w:spacing w:after="0" w:line="240" w:lineRule="auto"/>
    </w:pPr>
    <w:rPr>
      <w:rFonts w:eastAsia="MS Mincho"/>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
    <w:uiPriority w:val="61"/>
    <w:rsid w:val="00426A6F"/>
    <w:pPr>
      <w:spacing w:after="0" w:line="240" w:lineRule="auto"/>
    </w:p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DocumentMap">
    <w:name w:val="Document Map"/>
    <w:basedOn w:val="Normal"/>
    <w:link w:val="DocumentMapChar"/>
    <w:uiPriority w:val="99"/>
    <w:semiHidden/>
    <w:unhideWhenUsed/>
    <w:rsid w:val="00426A6F"/>
    <w:pPr>
      <w:spacing w:after="0" w:line="240" w:lineRule="auto"/>
      <w:jc w:val="both"/>
    </w:pPr>
    <w:rPr>
      <w:rFonts w:ascii="Lucida Grande" w:eastAsia="MS Mincho" w:hAnsi="Lucida Grande" w:cs="Lucida Grande"/>
      <w:sz w:val="24"/>
      <w:szCs w:val="24"/>
    </w:rPr>
  </w:style>
  <w:style w:type="character" w:customStyle="1" w:styleId="DocumentMapChar">
    <w:name w:val="Document Map Char"/>
    <w:basedOn w:val="DefaultParagraphFont"/>
    <w:link w:val="DocumentMap"/>
    <w:uiPriority w:val="99"/>
    <w:semiHidden/>
    <w:rsid w:val="00426A6F"/>
    <w:rPr>
      <w:rFonts w:ascii="Lucida Grande" w:eastAsia="MS Mincho" w:hAnsi="Lucida Grande" w:cs="Lucida Grande"/>
      <w:sz w:val="24"/>
      <w:szCs w:val="24"/>
    </w:rPr>
  </w:style>
  <w:style w:type="table" w:customStyle="1" w:styleId="LightGrid-Accent11">
    <w:name w:val="Light Grid - Accent 11"/>
    <w:basedOn w:val="TableNormal"/>
    <w:next w:val="LightGrid-Accent1"/>
    <w:uiPriority w:val="62"/>
    <w:rsid w:val="00426A6F"/>
    <w:pPr>
      <w:spacing w:after="0" w:line="240" w:lineRule="auto"/>
    </w:pPr>
    <w:rPr>
      <w:rFonts w:eastAsia="MS Mincho"/>
      <w:sz w:val="24"/>
      <w:szCs w:val="24"/>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Figs">
    <w:name w:val="Figs"/>
    <w:basedOn w:val="ListParagraph"/>
    <w:rsid w:val="00426A6F"/>
    <w:pPr>
      <w:spacing w:after="0" w:line="240" w:lineRule="auto"/>
      <w:ind w:left="0"/>
      <w:jc w:val="center"/>
    </w:pPr>
    <w:rPr>
      <w:rFonts w:ascii="Times New Roman" w:eastAsia="MS Mincho" w:hAnsi="Times New Roman" w:cs="Times New Roman"/>
      <w:b/>
      <w:i/>
      <w:szCs w:val="24"/>
    </w:rPr>
  </w:style>
  <w:style w:type="character" w:customStyle="1" w:styleId="ListParagraphChar">
    <w:name w:val="List Paragraph Char"/>
    <w:aliases w:val="List Paragraph (numbered (a)) Char,Numbered List Paragraph Char,Main numbered paragraph Char,List_Paragraph Char,Multilevel para_II Char,Bullets1 Char,Citation List Char,Resume Title Char,Graphic Char,Table of contents numbered Char"/>
    <w:basedOn w:val="DefaultParagraphFont"/>
    <w:link w:val="ListParagraph"/>
    <w:uiPriority w:val="34"/>
    <w:rsid w:val="00426A6F"/>
  </w:style>
  <w:style w:type="paragraph" w:customStyle="1" w:styleId="mk1txtb1">
    <w:name w:val="mk1 txtb1"/>
    <w:basedOn w:val="Normal"/>
    <w:qFormat/>
    <w:rsid w:val="00426A6F"/>
    <w:pPr>
      <w:numPr>
        <w:numId w:val="4"/>
      </w:numPr>
      <w:spacing w:before="120" w:after="0" w:line="240" w:lineRule="auto"/>
      <w:jc w:val="both"/>
    </w:pPr>
    <w:rPr>
      <w:rFonts w:ascii="Times New Roman" w:eastAsia="Times New Roman" w:hAnsi="Times New Roman" w:cs="Times New Roman"/>
      <w:lang w:val="en-GB"/>
    </w:rPr>
  </w:style>
  <w:style w:type="paragraph" w:customStyle="1" w:styleId="PDSHeading2">
    <w:name w:val="PDS Heading 2"/>
    <w:next w:val="Normal"/>
    <w:rsid w:val="00426A6F"/>
    <w:pPr>
      <w:keepNext/>
      <w:numPr>
        <w:ilvl w:val="1"/>
        <w:numId w:val="10"/>
      </w:numPr>
      <w:spacing w:after="0" w:line="240" w:lineRule="auto"/>
    </w:pPr>
    <w:rPr>
      <w:rFonts w:ascii="Times New Roman" w:eastAsia="Times New Roman" w:hAnsi="Times New Roman" w:cs="Times New Roman"/>
      <w:b/>
      <w:sz w:val="24"/>
      <w:szCs w:val="20"/>
    </w:rPr>
  </w:style>
  <w:style w:type="paragraph" w:customStyle="1" w:styleId="PDSHeading1">
    <w:name w:val="PDS Heading 1"/>
    <w:next w:val="PDSHeading2"/>
    <w:rsid w:val="00426A6F"/>
    <w:pPr>
      <w:keepNext/>
      <w:numPr>
        <w:numId w:val="10"/>
      </w:numPr>
      <w:spacing w:after="0" w:line="240" w:lineRule="auto"/>
      <w:outlineLvl w:val="0"/>
    </w:pPr>
    <w:rPr>
      <w:rFonts w:ascii="Times New Roman" w:eastAsia="Times New Roman" w:hAnsi="Times New Roman" w:cs="Times New Roman"/>
      <w:b/>
      <w:caps/>
      <w:sz w:val="24"/>
      <w:szCs w:val="20"/>
    </w:rPr>
  </w:style>
  <w:style w:type="character" w:customStyle="1" w:styleId="reference-text">
    <w:name w:val="reference-text"/>
    <w:basedOn w:val="DefaultParagraphFont"/>
    <w:rsid w:val="00426A6F"/>
  </w:style>
  <w:style w:type="character" w:customStyle="1" w:styleId="Heading4Char1">
    <w:name w:val="Heading 4 Char1"/>
    <w:basedOn w:val="DefaultParagraphFont"/>
    <w:uiPriority w:val="9"/>
    <w:semiHidden/>
    <w:rsid w:val="00426A6F"/>
    <w:rPr>
      <w:rFonts w:asciiTheme="majorHAnsi" w:eastAsiaTheme="majorEastAsia" w:hAnsiTheme="majorHAnsi" w:cstheme="majorBidi"/>
      <w:i/>
      <w:iCs/>
      <w:color w:val="2E74B5" w:themeColor="accent1" w:themeShade="BF"/>
    </w:rPr>
  </w:style>
  <w:style w:type="character" w:customStyle="1" w:styleId="Heading5Char1">
    <w:name w:val="Heading 5 Char1"/>
    <w:basedOn w:val="DefaultParagraphFont"/>
    <w:uiPriority w:val="9"/>
    <w:semiHidden/>
    <w:rsid w:val="00426A6F"/>
    <w:rPr>
      <w:rFonts w:asciiTheme="majorHAnsi" w:eastAsiaTheme="majorEastAsia" w:hAnsiTheme="majorHAnsi" w:cstheme="majorBidi"/>
      <w:color w:val="2E74B5" w:themeColor="accent1" w:themeShade="BF"/>
    </w:rPr>
  </w:style>
  <w:style w:type="table" w:styleId="LightList-Accent1">
    <w:name w:val="Light List Accent 1"/>
    <w:basedOn w:val="TableNormal"/>
    <w:uiPriority w:val="61"/>
    <w:semiHidden/>
    <w:unhideWhenUsed/>
    <w:rsid w:val="00426A6F"/>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Grid-Accent1">
    <w:name w:val="Light Grid Accent 1"/>
    <w:basedOn w:val="TableNormal"/>
    <w:uiPriority w:val="62"/>
    <w:semiHidden/>
    <w:unhideWhenUsed/>
    <w:rsid w:val="00426A6F"/>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numbering" w:customStyle="1" w:styleId="NoList3">
    <w:name w:val="No List3"/>
    <w:next w:val="NoList"/>
    <w:uiPriority w:val="99"/>
    <w:semiHidden/>
    <w:unhideWhenUsed/>
    <w:rsid w:val="00426A6F"/>
  </w:style>
  <w:style w:type="paragraph" w:styleId="Subtitle">
    <w:name w:val="Subtitle"/>
    <w:basedOn w:val="Normal"/>
    <w:link w:val="SubtitleChar"/>
    <w:qFormat/>
    <w:rsid w:val="00426A6F"/>
    <w:pPr>
      <w:spacing w:after="0" w:line="240" w:lineRule="auto"/>
      <w:jc w:val="center"/>
    </w:pPr>
    <w:rPr>
      <w:rFonts w:ascii="Times New Roman" w:eastAsia="Times New Roman" w:hAnsi="Times New Roman" w:cs="Traditional Arabic"/>
      <w:sz w:val="28"/>
      <w:szCs w:val="28"/>
    </w:rPr>
  </w:style>
  <w:style w:type="character" w:customStyle="1" w:styleId="SubtitleChar">
    <w:name w:val="Subtitle Char"/>
    <w:basedOn w:val="DefaultParagraphFont"/>
    <w:link w:val="Subtitle"/>
    <w:rsid w:val="00426A6F"/>
    <w:rPr>
      <w:rFonts w:ascii="Times New Roman" w:eastAsia="Times New Roman" w:hAnsi="Times New Roman" w:cs="Traditional Arabic"/>
      <w:sz w:val="28"/>
      <w:szCs w:val="28"/>
    </w:rPr>
  </w:style>
  <w:style w:type="paragraph" w:styleId="BodyText">
    <w:name w:val="Body Text"/>
    <w:basedOn w:val="Normal"/>
    <w:link w:val="BodyTextChar"/>
    <w:qFormat/>
    <w:rsid w:val="00426A6F"/>
    <w:pPr>
      <w:spacing w:before="120" w:after="120" w:line="240" w:lineRule="auto"/>
      <w:jc w:val="both"/>
    </w:pPr>
    <w:rPr>
      <w:rFonts w:ascii="Times New Roman" w:eastAsia="Times New Roman" w:hAnsi="Times New Roman" w:cs="Traditional Arabic"/>
    </w:rPr>
  </w:style>
  <w:style w:type="character" w:customStyle="1" w:styleId="BodyTextChar">
    <w:name w:val="Body Text Char"/>
    <w:basedOn w:val="DefaultParagraphFont"/>
    <w:link w:val="BodyText"/>
    <w:rsid w:val="00426A6F"/>
    <w:rPr>
      <w:rFonts w:ascii="Times New Roman" w:eastAsia="Times New Roman" w:hAnsi="Times New Roman" w:cs="Traditional Arabic"/>
    </w:rPr>
  </w:style>
  <w:style w:type="paragraph" w:customStyle="1" w:styleId="TableNotes">
    <w:name w:val="Table Notes"/>
    <w:basedOn w:val="xl26"/>
    <w:rsid w:val="00426A6F"/>
    <w:pPr>
      <w:keepNext/>
      <w:keepLines/>
      <w:pBdr>
        <w:left w:val="none" w:sz="0" w:space="0" w:color="auto"/>
        <w:right w:val="none" w:sz="0" w:space="0" w:color="auto"/>
      </w:pBdr>
      <w:spacing w:before="0" w:beforeAutospacing="0" w:after="360" w:afterAutospacing="0"/>
      <w:ind w:left="1440" w:right="1440"/>
    </w:pPr>
    <w:rPr>
      <w:rFonts w:eastAsia="Times New Roman" w:cs="Traditional Arabic"/>
    </w:rPr>
  </w:style>
  <w:style w:type="paragraph" w:customStyle="1" w:styleId="xl26">
    <w:name w:val="xl26"/>
    <w:basedOn w:val="Normal"/>
    <w:rsid w:val="00426A6F"/>
    <w:pPr>
      <w:pBdr>
        <w:left w:val="single" w:sz="12" w:space="0" w:color="auto"/>
        <w:right w:val="single" w:sz="4" w:space="0" w:color="auto"/>
      </w:pBdr>
      <w:spacing w:before="100" w:beforeAutospacing="1" w:after="100" w:afterAutospacing="1" w:line="240" w:lineRule="auto"/>
      <w:jc w:val="both"/>
    </w:pPr>
    <w:rPr>
      <w:rFonts w:ascii="Times New Roman" w:eastAsia="Arial Unicode MS" w:hAnsi="Times New Roman" w:cs="Times New Roman"/>
      <w:sz w:val="16"/>
      <w:szCs w:val="16"/>
    </w:rPr>
  </w:style>
  <w:style w:type="paragraph" w:customStyle="1" w:styleId="Figure">
    <w:name w:val="Figure"/>
    <w:basedOn w:val="Normal"/>
    <w:rsid w:val="00426A6F"/>
    <w:pPr>
      <w:keepNext/>
      <w:keepLines/>
      <w:spacing w:after="0" w:line="240" w:lineRule="auto"/>
      <w:jc w:val="center"/>
    </w:pPr>
    <w:rPr>
      <w:rFonts w:ascii="Times New Roman" w:eastAsia="Times New Roman" w:hAnsi="Times New Roman" w:cs="Traditional Arabic"/>
      <w:szCs w:val="26"/>
    </w:rPr>
  </w:style>
  <w:style w:type="paragraph" w:customStyle="1" w:styleId="Style1">
    <w:name w:val="Style1"/>
    <w:basedOn w:val="BodyText"/>
    <w:rsid w:val="00426A6F"/>
  </w:style>
  <w:style w:type="paragraph" w:styleId="BlockText">
    <w:name w:val="Block Text"/>
    <w:basedOn w:val="Normal"/>
    <w:rsid w:val="00426A6F"/>
    <w:pPr>
      <w:spacing w:after="0" w:line="240" w:lineRule="auto"/>
      <w:ind w:left="1440" w:right="1440"/>
      <w:jc w:val="both"/>
    </w:pPr>
    <w:rPr>
      <w:rFonts w:ascii="Times New Roman" w:eastAsia="Times New Roman" w:hAnsi="Times New Roman" w:cs="Traditional Arabic"/>
      <w:sz w:val="16"/>
      <w:szCs w:val="26"/>
    </w:rPr>
  </w:style>
  <w:style w:type="paragraph" w:styleId="BodyTextIndent">
    <w:name w:val="Body Text Indent"/>
    <w:basedOn w:val="Normal"/>
    <w:link w:val="BodyTextIndentChar"/>
    <w:rsid w:val="00426A6F"/>
    <w:pPr>
      <w:spacing w:after="0" w:line="240" w:lineRule="auto"/>
      <w:ind w:left="-1800" w:firstLine="1800"/>
      <w:jc w:val="both"/>
    </w:pPr>
    <w:rPr>
      <w:rFonts w:ascii="Times New Roman" w:eastAsia="Times New Roman" w:hAnsi="Times New Roman" w:cs="Times New Roman"/>
      <w:sz w:val="28"/>
      <w:szCs w:val="24"/>
    </w:rPr>
  </w:style>
  <w:style w:type="character" w:customStyle="1" w:styleId="BodyTextIndentChar">
    <w:name w:val="Body Text Indent Char"/>
    <w:basedOn w:val="DefaultParagraphFont"/>
    <w:link w:val="BodyTextIndent"/>
    <w:rsid w:val="00426A6F"/>
    <w:rPr>
      <w:rFonts w:ascii="Times New Roman" w:eastAsia="Times New Roman" w:hAnsi="Times New Roman" w:cs="Times New Roman"/>
      <w:sz w:val="28"/>
      <w:szCs w:val="24"/>
    </w:rPr>
  </w:style>
  <w:style w:type="paragraph" w:customStyle="1" w:styleId="xl34">
    <w:name w:val="xl34"/>
    <w:basedOn w:val="Normal"/>
    <w:rsid w:val="00426A6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b/>
      <w:bCs/>
      <w:sz w:val="24"/>
      <w:szCs w:val="24"/>
    </w:rPr>
  </w:style>
  <w:style w:type="paragraph" w:styleId="Index1">
    <w:name w:val="index 1"/>
    <w:basedOn w:val="Normal"/>
    <w:next w:val="Normal"/>
    <w:autoRedefine/>
    <w:uiPriority w:val="99"/>
    <w:semiHidden/>
    <w:rsid w:val="00426A6F"/>
    <w:pPr>
      <w:spacing w:after="0" w:line="240" w:lineRule="auto"/>
      <w:ind w:left="240" w:hanging="240"/>
      <w:jc w:val="both"/>
    </w:pPr>
    <w:rPr>
      <w:rFonts w:ascii="Times New Roman" w:eastAsia="Times New Roman" w:hAnsi="Times New Roman" w:cs="Times New Roman"/>
      <w:sz w:val="24"/>
      <w:szCs w:val="24"/>
    </w:rPr>
  </w:style>
  <w:style w:type="paragraph" w:styleId="Index2">
    <w:name w:val="index 2"/>
    <w:basedOn w:val="Normal"/>
    <w:next w:val="Normal"/>
    <w:autoRedefine/>
    <w:semiHidden/>
    <w:rsid w:val="00426A6F"/>
    <w:pPr>
      <w:spacing w:after="0" w:line="240" w:lineRule="auto"/>
      <w:ind w:left="480" w:hanging="240"/>
      <w:jc w:val="both"/>
    </w:pPr>
    <w:rPr>
      <w:rFonts w:ascii="Times New Roman" w:eastAsia="Times New Roman" w:hAnsi="Times New Roman" w:cs="Times New Roman"/>
      <w:sz w:val="24"/>
      <w:szCs w:val="24"/>
    </w:rPr>
  </w:style>
  <w:style w:type="paragraph" w:styleId="Index3">
    <w:name w:val="index 3"/>
    <w:basedOn w:val="Normal"/>
    <w:next w:val="Normal"/>
    <w:autoRedefine/>
    <w:semiHidden/>
    <w:rsid w:val="00426A6F"/>
    <w:pPr>
      <w:spacing w:after="0" w:line="240" w:lineRule="auto"/>
      <w:ind w:left="720" w:hanging="240"/>
      <w:jc w:val="both"/>
    </w:pPr>
    <w:rPr>
      <w:rFonts w:ascii="Times New Roman" w:eastAsia="Times New Roman" w:hAnsi="Times New Roman" w:cs="Times New Roman"/>
      <w:sz w:val="24"/>
      <w:szCs w:val="24"/>
    </w:rPr>
  </w:style>
  <w:style w:type="paragraph" w:styleId="Index4">
    <w:name w:val="index 4"/>
    <w:basedOn w:val="Normal"/>
    <w:next w:val="Normal"/>
    <w:autoRedefine/>
    <w:semiHidden/>
    <w:rsid w:val="00426A6F"/>
    <w:pPr>
      <w:spacing w:after="0" w:line="240" w:lineRule="auto"/>
      <w:ind w:left="960" w:hanging="240"/>
      <w:jc w:val="both"/>
    </w:pPr>
    <w:rPr>
      <w:rFonts w:ascii="Times New Roman" w:eastAsia="Times New Roman" w:hAnsi="Times New Roman" w:cs="Times New Roman"/>
      <w:sz w:val="24"/>
      <w:szCs w:val="24"/>
    </w:rPr>
  </w:style>
  <w:style w:type="paragraph" w:styleId="Index5">
    <w:name w:val="index 5"/>
    <w:basedOn w:val="Normal"/>
    <w:next w:val="Normal"/>
    <w:autoRedefine/>
    <w:semiHidden/>
    <w:rsid w:val="00426A6F"/>
    <w:pPr>
      <w:spacing w:after="0" w:line="240" w:lineRule="auto"/>
      <w:ind w:left="1200" w:hanging="240"/>
      <w:jc w:val="both"/>
    </w:pPr>
    <w:rPr>
      <w:rFonts w:ascii="Times New Roman" w:eastAsia="Times New Roman" w:hAnsi="Times New Roman" w:cs="Times New Roman"/>
      <w:sz w:val="24"/>
      <w:szCs w:val="24"/>
    </w:rPr>
  </w:style>
  <w:style w:type="paragraph" w:styleId="Index6">
    <w:name w:val="index 6"/>
    <w:basedOn w:val="Normal"/>
    <w:next w:val="Normal"/>
    <w:autoRedefine/>
    <w:semiHidden/>
    <w:rsid w:val="00426A6F"/>
    <w:pPr>
      <w:spacing w:after="0" w:line="240" w:lineRule="auto"/>
      <w:ind w:left="1440" w:hanging="240"/>
      <w:jc w:val="both"/>
    </w:pPr>
    <w:rPr>
      <w:rFonts w:ascii="Times New Roman" w:eastAsia="Times New Roman" w:hAnsi="Times New Roman" w:cs="Times New Roman"/>
      <w:sz w:val="24"/>
      <w:szCs w:val="24"/>
    </w:rPr>
  </w:style>
  <w:style w:type="paragraph" w:styleId="Index7">
    <w:name w:val="index 7"/>
    <w:basedOn w:val="Normal"/>
    <w:next w:val="Normal"/>
    <w:autoRedefine/>
    <w:semiHidden/>
    <w:rsid w:val="00426A6F"/>
    <w:pPr>
      <w:spacing w:after="0" w:line="240" w:lineRule="auto"/>
      <w:ind w:left="1680" w:hanging="240"/>
      <w:jc w:val="both"/>
    </w:pPr>
    <w:rPr>
      <w:rFonts w:ascii="Times New Roman" w:eastAsia="Times New Roman" w:hAnsi="Times New Roman" w:cs="Times New Roman"/>
      <w:sz w:val="24"/>
      <w:szCs w:val="24"/>
    </w:rPr>
  </w:style>
  <w:style w:type="paragraph" w:styleId="Index8">
    <w:name w:val="index 8"/>
    <w:basedOn w:val="Normal"/>
    <w:next w:val="Normal"/>
    <w:autoRedefine/>
    <w:semiHidden/>
    <w:rsid w:val="00426A6F"/>
    <w:pPr>
      <w:spacing w:after="0" w:line="240" w:lineRule="auto"/>
      <w:ind w:left="1920" w:hanging="240"/>
      <w:jc w:val="both"/>
    </w:pPr>
    <w:rPr>
      <w:rFonts w:ascii="Times New Roman" w:eastAsia="Times New Roman" w:hAnsi="Times New Roman" w:cs="Times New Roman"/>
      <w:sz w:val="24"/>
      <w:szCs w:val="24"/>
    </w:rPr>
  </w:style>
  <w:style w:type="paragraph" w:styleId="Index9">
    <w:name w:val="index 9"/>
    <w:basedOn w:val="Normal"/>
    <w:next w:val="Normal"/>
    <w:autoRedefine/>
    <w:rsid w:val="00426A6F"/>
    <w:pPr>
      <w:spacing w:after="0" w:line="240" w:lineRule="auto"/>
      <w:ind w:left="2160" w:hanging="240"/>
      <w:jc w:val="both"/>
    </w:pPr>
    <w:rPr>
      <w:rFonts w:ascii="Times New Roman" w:eastAsia="Times New Roman" w:hAnsi="Times New Roman" w:cs="Times New Roman"/>
      <w:sz w:val="24"/>
      <w:szCs w:val="24"/>
    </w:rPr>
  </w:style>
  <w:style w:type="paragraph" w:styleId="IndexHeading">
    <w:name w:val="index heading"/>
    <w:basedOn w:val="Normal"/>
    <w:next w:val="Index1"/>
    <w:semiHidden/>
    <w:rsid w:val="00426A6F"/>
    <w:pPr>
      <w:spacing w:after="0" w:line="240" w:lineRule="auto"/>
      <w:jc w:val="both"/>
    </w:pPr>
    <w:rPr>
      <w:rFonts w:ascii="Times New Roman" w:eastAsia="Times New Roman" w:hAnsi="Times New Roman" w:cs="Times New Roman"/>
      <w:sz w:val="24"/>
      <w:szCs w:val="24"/>
    </w:rPr>
  </w:style>
  <w:style w:type="character" w:styleId="FollowedHyperlink">
    <w:name w:val="FollowedHyperlink"/>
    <w:basedOn w:val="DefaultParagraphFont"/>
    <w:rsid w:val="00426A6F"/>
    <w:rPr>
      <w:color w:val="800080"/>
      <w:u w:val="single"/>
    </w:rPr>
  </w:style>
  <w:style w:type="paragraph" w:customStyle="1" w:styleId="Heading1a">
    <w:name w:val="Heading 1a"/>
    <w:basedOn w:val="Normal"/>
    <w:next w:val="Normal"/>
    <w:rsid w:val="00426A6F"/>
    <w:pPr>
      <w:keepNext/>
      <w:keepLines/>
      <w:tabs>
        <w:tab w:val="num" w:pos="720"/>
      </w:tabs>
      <w:spacing w:after="0" w:line="240" w:lineRule="auto"/>
      <w:ind w:left="720" w:hanging="360"/>
      <w:jc w:val="center"/>
      <w:outlineLvl w:val="0"/>
    </w:pPr>
    <w:rPr>
      <w:rFonts w:ascii="Times New Roman" w:eastAsia="Times New Roman" w:hAnsi="Times New Roman" w:cs="Times New Roman"/>
      <w:b/>
      <w:caps/>
      <w:sz w:val="32"/>
      <w:szCs w:val="24"/>
    </w:rPr>
  </w:style>
  <w:style w:type="paragraph" w:customStyle="1" w:styleId="MainParanoChapter">
    <w:name w:val="Main Para no Chapter #"/>
    <w:basedOn w:val="Normal"/>
    <w:rsid w:val="00426A6F"/>
    <w:pPr>
      <w:numPr>
        <w:ilvl w:val="1"/>
        <w:numId w:val="14"/>
      </w:numPr>
      <w:spacing w:after="240" w:line="240" w:lineRule="auto"/>
      <w:jc w:val="both"/>
      <w:outlineLvl w:val="1"/>
    </w:pPr>
    <w:rPr>
      <w:rFonts w:ascii="Times New Roman" w:eastAsia="Times New Roman" w:hAnsi="Times New Roman" w:cs="Times New Roman"/>
      <w:sz w:val="24"/>
      <w:szCs w:val="24"/>
    </w:rPr>
  </w:style>
  <w:style w:type="paragraph" w:customStyle="1" w:styleId="Sub-Para1underX">
    <w:name w:val="Sub-Para 1 under X."/>
    <w:basedOn w:val="Normal"/>
    <w:rsid w:val="00426A6F"/>
    <w:pPr>
      <w:spacing w:after="240" w:line="240" w:lineRule="auto"/>
      <w:ind w:left="1440" w:hanging="720"/>
      <w:jc w:val="both"/>
      <w:outlineLvl w:val="2"/>
    </w:pPr>
    <w:rPr>
      <w:rFonts w:ascii="Times New Roman" w:eastAsia="Times New Roman" w:hAnsi="Times New Roman" w:cs="Times New Roman"/>
      <w:sz w:val="24"/>
      <w:szCs w:val="24"/>
    </w:rPr>
  </w:style>
  <w:style w:type="paragraph" w:customStyle="1" w:styleId="Sub-Para2underX">
    <w:name w:val="Sub-Para 2 under X."/>
    <w:basedOn w:val="Normal"/>
    <w:rsid w:val="00426A6F"/>
    <w:pPr>
      <w:numPr>
        <w:ilvl w:val="3"/>
        <w:numId w:val="14"/>
      </w:numPr>
      <w:tabs>
        <w:tab w:val="clear" w:pos="1800"/>
      </w:tabs>
      <w:spacing w:after="240" w:line="240" w:lineRule="auto"/>
      <w:ind w:left="2160" w:hanging="720"/>
      <w:jc w:val="both"/>
      <w:outlineLvl w:val="3"/>
    </w:pPr>
    <w:rPr>
      <w:rFonts w:ascii="Times New Roman" w:eastAsia="Times New Roman" w:hAnsi="Times New Roman" w:cs="Times New Roman"/>
      <w:sz w:val="24"/>
      <w:szCs w:val="24"/>
    </w:rPr>
  </w:style>
  <w:style w:type="paragraph" w:customStyle="1" w:styleId="Sub-Para3underX">
    <w:name w:val="Sub-Para 3 under X."/>
    <w:basedOn w:val="Normal"/>
    <w:rsid w:val="00426A6F"/>
    <w:pPr>
      <w:tabs>
        <w:tab w:val="num" w:pos="720"/>
      </w:tabs>
      <w:spacing w:after="240" w:line="240" w:lineRule="auto"/>
      <w:ind w:left="2880" w:hanging="720"/>
      <w:jc w:val="both"/>
      <w:outlineLvl w:val="4"/>
    </w:pPr>
    <w:rPr>
      <w:rFonts w:ascii="Times New Roman" w:eastAsia="Times New Roman" w:hAnsi="Times New Roman" w:cs="Times New Roman"/>
      <w:sz w:val="24"/>
      <w:szCs w:val="24"/>
    </w:rPr>
  </w:style>
  <w:style w:type="paragraph" w:customStyle="1" w:styleId="Sub-Para4underX">
    <w:name w:val="Sub-Para 4 under X."/>
    <w:basedOn w:val="Normal"/>
    <w:rsid w:val="00426A6F"/>
    <w:pPr>
      <w:tabs>
        <w:tab w:val="num" w:pos="1440"/>
      </w:tabs>
      <w:spacing w:after="240" w:line="240" w:lineRule="auto"/>
      <w:ind w:left="3600" w:hanging="720"/>
      <w:jc w:val="both"/>
      <w:outlineLvl w:val="5"/>
    </w:pPr>
    <w:rPr>
      <w:rFonts w:ascii="Times New Roman" w:eastAsia="Times New Roman" w:hAnsi="Times New Roman" w:cs="Times New Roman"/>
      <w:sz w:val="24"/>
      <w:szCs w:val="24"/>
    </w:rPr>
  </w:style>
  <w:style w:type="paragraph" w:customStyle="1" w:styleId="MainParawithChapter">
    <w:name w:val="Main Para with Chapter#"/>
    <w:basedOn w:val="Normal"/>
    <w:rsid w:val="00426A6F"/>
    <w:pPr>
      <w:tabs>
        <w:tab w:val="num" w:pos="360"/>
      </w:tabs>
      <w:spacing w:after="240" w:line="240" w:lineRule="auto"/>
      <w:jc w:val="both"/>
      <w:outlineLvl w:val="1"/>
    </w:pPr>
    <w:rPr>
      <w:rFonts w:ascii="Times New Roman" w:eastAsia="Times New Roman" w:hAnsi="Times New Roman" w:cs="Times New Roman"/>
      <w:sz w:val="24"/>
      <w:szCs w:val="24"/>
    </w:rPr>
  </w:style>
  <w:style w:type="paragraph" w:customStyle="1" w:styleId="Sub-Para1underXY">
    <w:name w:val="Sub-Para 1 under X.Y"/>
    <w:basedOn w:val="Normal"/>
    <w:rsid w:val="00426A6F"/>
    <w:pPr>
      <w:spacing w:after="240" w:line="240" w:lineRule="auto"/>
      <w:ind w:left="1440" w:hanging="720"/>
      <w:jc w:val="both"/>
      <w:outlineLvl w:val="2"/>
    </w:pPr>
    <w:rPr>
      <w:rFonts w:ascii="Times New Roman" w:eastAsia="Times New Roman" w:hAnsi="Times New Roman" w:cs="Times New Roman"/>
      <w:sz w:val="24"/>
      <w:szCs w:val="24"/>
    </w:rPr>
  </w:style>
  <w:style w:type="paragraph" w:customStyle="1" w:styleId="Sub-Para2underXY">
    <w:name w:val="Sub-Para 2 under X.Y"/>
    <w:basedOn w:val="Normal"/>
    <w:rsid w:val="00426A6F"/>
    <w:pPr>
      <w:tabs>
        <w:tab w:val="num" w:pos="360"/>
      </w:tabs>
      <w:spacing w:after="240" w:line="240" w:lineRule="auto"/>
      <w:ind w:left="2160" w:hanging="720"/>
      <w:jc w:val="both"/>
      <w:outlineLvl w:val="3"/>
    </w:pPr>
    <w:rPr>
      <w:rFonts w:ascii="Times New Roman" w:eastAsia="Times New Roman" w:hAnsi="Times New Roman" w:cs="Times New Roman"/>
      <w:sz w:val="24"/>
      <w:szCs w:val="24"/>
    </w:rPr>
  </w:style>
  <w:style w:type="paragraph" w:customStyle="1" w:styleId="Sub-Para3underXY">
    <w:name w:val="Sub-Para 3 under X.Y"/>
    <w:basedOn w:val="Normal"/>
    <w:rsid w:val="00426A6F"/>
    <w:pPr>
      <w:tabs>
        <w:tab w:val="num" w:pos="1080"/>
      </w:tabs>
      <w:spacing w:after="240" w:line="240" w:lineRule="auto"/>
      <w:ind w:left="2880" w:hanging="720"/>
      <w:jc w:val="both"/>
      <w:outlineLvl w:val="4"/>
    </w:pPr>
    <w:rPr>
      <w:rFonts w:ascii="Times New Roman" w:eastAsia="Times New Roman" w:hAnsi="Times New Roman" w:cs="Times New Roman"/>
      <w:sz w:val="24"/>
      <w:szCs w:val="24"/>
    </w:rPr>
  </w:style>
  <w:style w:type="paragraph" w:customStyle="1" w:styleId="Sub-Para4underXY">
    <w:name w:val="Sub-Para 4 under X.Y"/>
    <w:basedOn w:val="Normal"/>
    <w:rsid w:val="00426A6F"/>
    <w:pPr>
      <w:tabs>
        <w:tab w:val="num" w:pos="1800"/>
      </w:tabs>
      <w:spacing w:after="240" w:line="240" w:lineRule="auto"/>
      <w:ind w:left="3600" w:hanging="720"/>
      <w:jc w:val="both"/>
      <w:outlineLvl w:val="5"/>
    </w:pPr>
    <w:rPr>
      <w:rFonts w:ascii="Times New Roman" w:eastAsia="Times New Roman" w:hAnsi="Times New Roman" w:cs="Times New Roman"/>
      <w:sz w:val="24"/>
      <w:szCs w:val="24"/>
    </w:rPr>
  </w:style>
  <w:style w:type="paragraph" w:customStyle="1" w:styleId="xl24">
    <w:name w:val="xl24"/>
    <w:basedOn w:val="Normal"/>
    <w:rsid w:val="00426A6F"/>
    <w:pPr>
      <w:spacing w:before="100" w:beforeAutospacing="1" w:after="100" w:afterAutospacing="1" w:line="240" w:lineRule="auto"/>
      <w:jc w:val="both"/>
    </w:pPr>
    <w:rPr>
      <w:rFonts w:ascii="Arial" w:eastAsia="Arial Unicode MS" w:hAnsi="Arial" w:cs="Arial"/>
      <w:sz w:val="18"/>
      <w:szCs w:val="18"/>
    </w:rPr>
  </w:style>
  <w:style w:type="paragraph" w:customStyle="1" w:styleId="xl25">
    <w:name w:val="xl25"/>
    <w:basedOn w:val="Normal"/>
    <w:rsid w:val="00426A6F"/>
    <w:pPr>
      <w:spacing w:before="100" w:beforeAutospacing="1" w:after="100" w:afterAutospacing="1" w:line="240" w:lineRule="auto"/>
      <w:jc w:val="both"/>
    </w:pPr>
    <w:rPr>
      <w:rFonts w:ascii="Arial" w:eastAsia="Arial Unicode MS" w:hAnsi="Arial" w:cs="Arial"/>
      <w:b/>
      <w:bCs/>
      <w:sz w:val="18"/>
      <w:szCs w:val="18"/>
    </w:rPr>
  </w:style>
  <w:style w:type="paragraph" w:customStyle="1" w:styleId="xl27">
    <w:name w:val="xl27"/>
    <w:basedOn w:val="Normal"/>
    <w:rsid w:val="00426A6F"/>
    <w:pPr>
      <w:shd w:val="clear" w:color="auto" w:fill="969696"/>
      <w:spacing w:before="100" w:beforeAutospacing="1" w:after="100" w:afterAutospacing="1" w:line="240" w:lineRule="auto"/>
      <w:jc w:val="both"/>
    </w:pPr>
    <w:rPr>
      <w:rFonts w:ascii="Arial" w:eastAsia="Arial Unicode MS" w:hAnsi="Arial" w:cs="Arial"/>
      <w:sz w:val="18"/>
      <w:szCs w:val="18"/>
    </w:rPr>
  </w:style>
  <w:style w:type="paragraph" w:customStyle="1" w:styleId="xl28">
    <w:name w:val="xl28"/>
    <w:basedOn w:val="Normal"/>
    <w:rsid w:val="00426A6F"/>
    <w:pPr>
      <w:shd w:val="clear" w:color="auto" w:fill="969696"/>
      <w:spacing w:before="100" w:beforeAutospacing="1" w:after="100" w:afterAutospacing="1" w:line="240" w:lineRule="auto"/>
      <w:jc w:val="both"/>
    </w:pPr>
    <w:rPr>
      <w:rFonts w:ascii="Arial" w:eastAsia="Arial Unicode MS" w:hAnsi="Arial" w:cs="Arial"/>
      <w:b/>
      <w:bCs/>
      <w:sz w:val="18"/>
      <w:szCs w:val="18"/>
    </w:rPr>
  </w:style>
  <w:style w:type="paragraph" w:customStyle="1" w:styleId="xl29">
    <w:name w:val="xl29"/>
    <w:basedOn w:val="Normal"/>
    <w:rsid w:val="00426A6F"/>
    <w:pPr>
      <w:shd w:val="clear" w:color="auto" w:fill="969696"/>
      <w:spacing w:before="100" w:beforeAutospacing="1" w:after="100" w:afterAutospacing="1" w:line="240" w:lineRule="auto"/>
      <w:jc w:val="both"/>
    </w:pPr>
    <w:rPr>
      <w:rFonts w:ascii="Arial" w:eastAsia="Arial Unicode MS" w:hAnsi="Arial" w:cs="Arial"/>
      <w:sz w:val="18"/>
      <w:szCs w:val="18"/>
    </w:rPr>
  </w:style>
  <w:style w:type="paragraph" w:customStyle="1" w:styleId="xl30">
    <w:name w:val="xl30"/>
    <w:basedOn w:val="Normal"/>
    <w:rsid w:val="00426A6F"/>
    <w:pPr>
      <w:shd w:val="clear" w:color="auto" w:fill="969696"/>
      <w:spacing w:before="100" w:beforeAutospacing="1" w:after="100" w:afterAutospacing="1" w:line="240" w:lineRule="auto"/>
      <w:jc w:val="both"/>
    </w:pPr>
    <w:rPr>
      <w:rFonts w:ascii="Arial" w:eastAsia="Arial Unicode MS" w:hAnsi="Arial" w:cs="Arial"/>
      <w:b/>
      <w:bCs/>
      <w:sz w:val="18"/>
      <w:szCs w:val="18"/>
    </w:rPr>
  </w:style>
  <w:style w:type="character" w:customStyle="1" w:styleId="xl26Char">
    <w:name w:val="xl26 Char"/>
    <w:basedOn w:val="DefaultParagraphFont"/>
    <w:rsid w:val="00426A6F"/>
    <w:rPr>
      <w:rFonts w:eastAsia="Arial Unicode MS"/>
      <w:sz w:val="16"/>
      <w:szCs w:val="16"/>
      <w:lang w:val="en-US" w:eastAsia="en-US" w:bidi="ar-SA"/>
    </w:rPr>
  </w:style>
  <w:style w:type="character" w:customStyle="1" w:styleId="TableNotesChar">
    <w:name w:val="Table Notes Char"/>
    <w:basedOn w:val="xl26Char"/>
    <w:rsid w:val="00426A6F"/>
    <w:rPr>
      <w:rFonts w:eastAsia="Arial Unicode MS" w:cs="Traditional Arabic"/>
      <w:sz w:val="16"/>
      <w:szCs w:val="16"/>
      <w:lang w:val="en-US" w:eastAsia="en-US" w:bidi="ar-SA"/>
    </w:rPr>
  </w:style>
  <w:style w:type="paragraph" w:styleId="BodyText2">
    <w:name w:val="Body Text 2"/>
    <w:basedOn w:val="Normal"/>
    <w:link w:val="BodyText2Char"/>
    <w:rsid w:val="00426A6F"/>
    <w:pPr>
      <w:spacing w:after="0" w:line="240" w:lineRule="auto"/>
      <w:jc w:val="both"/>
    </w:pPr>
    <w:rPr>
      <w:rFonts w:ascii="Times New Roman" w:eastAsia="Times New Roman" w:hAnsi="Times New Roman" w:cs="Times New Roman"/>
      <w:bCs/>
    </w:rPr>
  </w:style>
  <w:style w:type="character" w:customStyle="1" w:styleId="BodyText2Char">
    <w:name w:val="Body Text 2 Char"/>
    <w:basedOn w:val="DefaultParagraphFont"/>
    <w:link w:val="BodyText2"/>
    <w:rsid w:val="00426A6F"/>
    <w:rPr>
      <w:rFonts w:ascii="Times New Roman" w:eastAsia="Times New Roman" w:hAnsi="Times New Roman" w:cs="Times New Roman"/>
      <w:bCs/>
    </w:rPr>
  </w:style>
  <w:style w:type="paragraph" w:styleId="BodyText3">
    <w:name w:val="Body Text 3"/>
    <w:basedOn w:val="Normal"/>
    <w:link w:val="BodyText3Char"/>
    <w:rsid w:val="00426A6F"/>
    <w:pPr>
      <w:spacing w:after="0" w:line="240" w:lineRule="auto"/>
      <w:jc w:val="both"/>
    </w:pPr>
    <w:rPr>
      <w:rFonts w:ascii="Times New Roman" w:eastAsia="Times New Roman" w:hAnsi="Times New Roman" w:cs="Times New Roman"/>
      <w:bCs/>
      <w:color w:val="FF0000"/>
    </w:rPr>
  </w:style>
  <w:style w:type="character" w:customStyle="1" w:styleId="BodyText3Char">
    <w:name w:val="Body Text 3 Char"/>
    <w:basedOn w:val="DefaultParagraphFont"/>
    <w:link w:val="BodyText3"/>
    <w:rsid w:val="00426A6F"/>
    <w:rPr>
      <w:rFonts w:ascii="Times New Roman" w:eastAsia="Times New Roman" w:hAnsi="Times New Roman" w:cs="Times New Roman"/>
      <w:bCs/>
      <w:color w:val="FF0000"/>
    </w:rPr>
  </w:style>
  <w:style w:type="table" w:customStyle="1" w:styleId="TableGrid3">
    <w:name w:val="Table Grid3"/>
    <w:basedOn w:val="TableNormal"/>
    <w:next w:val="TableGrid"/>
    <w:uiPriority w:val="59"/>
    <w:rsid w:val="00426A6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delNrmlSingle">
    <w:name w:val="ModelNrmlSingle"/>
    <w:basedOn w:val="Normal"/>
    <w:rsid w:val="00426A6F"/>
    <w:pPr>
      <w:spacing w:after="240" w:line="240" w:lineRule="auto"/>
      <w:ind w:firstLine="720"/>
      <w:jc w:val="both"/>
    </w:pPr>
    <w:rPr>
      <w:rFonts w:ascii="Times New Roman" w:eastAsia="Times New Roman" w:hAnsi="Times New Roman" w:cs="Times New Roman"/>
      <w:szCs w:val="20"/>
    </w:rPr>
  </w:style>
  <w:style w:type="character" w:customStyle="1" w:styleId="CaptionChar">
    <w:name w:val="Caption Char"/>
    <w:basedOn w:val="DefaultParagraphFont"/>
    <w:link w:val="Caption"/>
    <w:uiPriority w:val="35"/>
    <w:rsid w:val="00426A6F"/>
    <w:rPr>
      <w:b/>
      <w:iCs/>
    </w:rPr>
  </w:style>
  <w:style w:type="table" w:customStyle="1" w:styleId="TableGrid11">
    <w:name w:val="Table Grid11"/>
    <w:basedOn w:val="TableNormal"/>
    <w:next w:val="TableGrid"/>
    <w:uiPriority w:val="59"/>
    <w:rsid w:val="00426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tyle">
    <w:name w:val="Reference style"/>
    <w:basedOn w:val="Normal"/>
    <w:rsid w:val="00426A6F"/>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rPr>
  </w:style>
  <w:style w:type="paragraph" w:customStyle="1" w:styleId="Letdate">
    <w:name w:val="Let: date"/>
    <w:basedOn w:val="Referencestyle"/>
    <w:rsid w:val="00426A6F"/>
    <w:pPr>
      <w:tabs>
        <w:tab w:val="left" w:pos="5400"/>
        <w:tab w:val="left" w:pos="7200"/>
      </w:tabs>
    </w:pPr>
  </w:style>
  <w:style w:type="paragraph" w:customStyle="1" w:styleId="Letaddressee">
    <w:name w:val="Let: addressee"/>
    <w:basedOn w:val="Referencestyle"/>
    <w:rsid w:val="00426A6F"/>
    <w:pPr>
      <w:tabs>
        <w:tab w:val="left" w:pos="5400"/>
        <w:tab w:val="left" w:pos="7200"/>
      </w:tabs>
    </w:pPr>
  </w:style>
  <w:style w:type="paragraph" w:customStyle="1" w:styleId="Letsincerely">
    <w:name w:val="Let: sincerely"/>
    <w:basedOn w:val="Referencestyle"/>
    <w:rsid w:val="00426A6F"/>
    <w:pPr>
      <w:tabs>
        <w:tab w:val="left" w:pos="5400"/>
        <w:tab w:val="left" w:pos="7200"/>
      </w:tabs>
    </w:pPr>
  </w:style>
  <w:style w:type="paragraph" w:customStyle="1" w:styleId="Letsender">
    <w:name w:val="Let: sender"/>
    <w:basedOn w:val="Referencestyle"/>
    <w:rsid w:val="00426A6F"/>
    <w:pPr>
      <w:tabs>
        <w:tab w:val="left" w:pos="5400"/>
        <w:tab w:val="left" w:pos="7200"/>
      </w:tabs>
    </w:pPr>
  </w:style>
  <w:style w:type="character" w:styleId="Strong">
    <w:name w:val="Strong"/>
    <w:basedOn w:val="DefaultParagraphFont"/>
    <w:qFormat/>
    <w:rsid w:val="00426A6F"/>
    <w:rPr>
      <w:b/>
      <w:bCs/>
    </w:rPr>
  </w:style>
  <w:style w:type="paragraph" w:customStyle="1" w:styleId="Default">
    <w:name w:val="Default"/>
    <w:rsid w:val="00426A6F"/>
    <w:pPr>
      <w:autoSpaceDE w:val="0"/>
      <w:autoSpaceDN w:val="0"/>
      <w:adjustRightInd w:val="0"/>
      <w:spacing w:after="0" w:line="240" w:lineRule="auto"/>
    </w:pPr>
    <w:rPr>
      <w:rFonts w:ascii="Times New Roman" w:eastAsia="Times New Roman" w:hAnsi="Times New Roman" w:cs="Times New Roman"/>
      <w:color w:val="000000"/>
      <w:sz w:val="24"/>
      <w:szCs w:val="24"/>
      <w:lang w:val="en-IE" w:eastAsia="en-IE"/>
    </w:rPr>
  </w:style>
  <w:style w:type="paragraph" w:styleId="BodyTextIndent3">
    <w:name w:val="Body Text Indent 3"/>
    <w:basedOn w:val="Normal"/>
    <w:link w:val="BodyTextIndent3Char"/>
    <w:rsid w:val="00426A6F"/>
    <w:pPr>
      <w:spacing w:after="0" w:line="240" w:lineRule="auto"/>
      <w:ind w:left="1506" w:hanging="426"/>
      <w:jc w:val="both"/>
    </w:pPr>
    <w:rPr>
      <w:rFonts w:ascii="Times New Roman" w:eastAsia="Times New Roman" w:hAnsi="Times New Roman" w:cs="Times New Roman"/>
      <w:sz w:val="24"/>
      <w:szCs w:val="20"/>
      <w:lang w:val="en-GB"/>
    </w:rPr>
  </w:style>
  <w:style w:type="character" w:customStyle="1" w:styleId="BodyTextIndent3Char">
    <w:name w:val="Body Text Indent 3 Char"/>
    <w:basedOn w:val="DefaultParagraphFont"/>
    <w:link w:val="BodyTextIndent3"/>
    <w:rsid w:val="00426A6F"/>
    <w:rPr>
      <w:rFonts w:ascii="Times New Roman" w:eastAsia="Times New Roman" w:hAnsi="Times New Roman" w:cs="Times New Roman"/>
      <w:sz w:val="24"/>
      <w:szCs w:val="20"/>
      <w:lang w:val="en-GB"/>
    </w:rPr>
  </w:style>
  <w:style w:type="paragraph" w:customStyle="1" w:styleId="ABL4">
    <w:name w:val="ABL4"/>
    <w:uiPriority w:val="99"/>
    <w:rsid w:val="00426A6F"/>
    <w:pPr>
      <w:spacing w:after="0" w:line="360" w:lineRule="auto"/>
      <w:jc w:val="both"/>
    </w:pPr>
    <w:rPr>
      <w:rFonts w:ascii="Tahoma" w:eastAsia="Times New Roman" w:hAnsi="Tahoma" w:cs="Mangal"/>
      <w:sz w:val="20"/>
      <w:szCs w:val="20"/>
      <w:lang w:bidi="hi-IN"/>
    </w:rPr>
  </w:style>
  <w:style w:type="paragraph" w:customStyle="1" w:styleId="Tabhead">
    <w:name w:val="Tab head"/>
    <w:basedOn w:val="Normal"/>
    <w:next w:val="Normal"/>
    <w:rsid w:val="00426A6F"/>
    <w:pPr>
      <w:keepNext/>
      <w:spacing w:after="0" w:line="240" w:lineRule="auto"/>
      <w:jc w:val="center"/>
    </w:pPr>
    <w:rPr>
      <w:rFonts w:ascii="Arial" w:eastAsia="Times New Roman" w:hAnsi="Arial" w:cs="Times New Roman"/>
      <w:sz w:val="24"/>
      <w:szCs w:val="20"/>
    </w:rPr>
  </w:style>
  <w:style w:type="numbering" w:customStyle="1" w:styleId="NoList4">
    <w:name w:val="No List4"/>
    <w:next w:val="NoList"/>
    <w:uiPriority w:val="99"/>
    <w:semiHidden/>
    <w:unhideWhenUsed/>
    <w:rsid w:val="00426A6F"/>
  </w:style>
  <w:style w:type="paragraph" w:customStyle="1" w:styleId="Numbered">
    <w:name w:val="Numbered"/>
    <w:basedOn w:val="ListParagraph"/>
    <w:link w:val="NumberedChar"/>
    <w:qFormat/>
    <w:rsid w:val="00426A6F"/>
    <w:pPr>
      <w:numPr>
        <w:numId w:val="19"/>
      </w:numPr>
      <w:spacing w:before="240" w:after="240" w:line="240" w:lineRule="auto"/>
      <w:ind w:left="0" w:firstLine="0"/>
      <w:contextualSpacing w:val="0"/>
    </w:pPr>
    <w:rPr>
      <w:rFonts w:ascii="Times New Roman" w:eastAsia="Times New Roman" w:hAnsi="Times New Roman"/>
      <w:sz w:val="24"/>
    </w:rPr>
  </w:style>
  <w:style w:type="character" w:customStyle="1" w:styleId="NumberedChar">
    <w:name w:val="Numbered Char"/>
    <w:basedOn w:val="DefaultParagraphFont"/>
    <w:link w:val="Numbered"/>
    <w:rsid w:val="00426A6F"/>
    <w:rPr>
      <w:rFonts w:ascii="Times New Roman" w:eastAsia="Times New Roman" w:hAnsi="Times New Roman"/>
      <w:sz w:val="24"/>
    </w:rPr>
  </w:style>
  <w:style w:type="table" w:customStyle="1" w:styleId="TableGrid4">
    <w:name w:val="Table Grid4"/>
    <w:basedOn w:val="TableNormal"/>
    <w:next w:val="TableGrid"/>
    <w:uiPriority w:val="59"/>
    <w:rsid w:val="00426A6F"/>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Normal"/>
    <w:rsid w:val="00426A6F"/>
    <w:pPr>
      <w:spacing w:before="100" w:beforeAutospacing="1" w:after="100" w:afterAutospacing="1" w:line="240" w:lineRule="auto"/>
      <w:jc w:val="both"/>
    </w:pPr>
    <w:rPr>
      <w:rFonts w:ascii="Calibri" w:eastAsia="Times New Roman" w:hAnsi="Calibri" w:cs="Times New Roman"/>
    </w:rPr>
  </w:style>
  <w:style w:type="character" w:customStyle="1" w:styleId="FootnoteTextChar2">
    <w:name w:val="Footnote Text Char2"/>
    <w:aliases w:val="fn Char3,Footnotes Char3,Footnote ak Char3,fn Char Char3,footnote text Char Char2,Footnotes Char Char3,Footnote ak Char Char2,ft Char2,fn cafc Char2,Footnotes Char Char Char2,Footnote Text Char Char Char2,fn Char Char Char2,fn1 Char2"/>
    <w:uiPriority w:val="99"/>
    <w:locked/>
    <w:rsid w:val="00426A6F"/>
  </w:style>
  <w:style w:type="paragraph" w:customStyle="1" w:styleId="NumberedText">
    <w:name w:val="Numbered Text"/>
    <w:basedOn w:val="ListParagraph"/>
    <w:link w:val="NumberedTextChar"/>
    <w:qFormat/>
    <w:rsid w:val="00426A6F"/>
    <w:pPr>
      <w:numPr>
        <w:numId w:val="20"/>
      </w:numPr>
      <w:spacing w:before="240" w:after="240" w:line="240" w:lineRule="auto"/>
      <w:contextualSpacing w:val="0"/>
    </w:pPr>
    <w:rPr>
      <w:rFonts w:ascii="Times New Roman" w:eastAsia="Calibri" w:hAnsi="Times New Roman" w:cs="Times New Roman"/>
      <w:sz w:val="24"/>
      <w:szCs w:val="24"/>
    </w:rPr>
  </w:style>
  <w:style w:type="character" w:customStyle="1" w:styleId="NumberedTextChar">
    <w:name w:val="Numbered Text Char"/>
    <w:link w:val="NumberedText"/>
    <w:rsid w:val="00426A6F"/>
    <w:rPr>
      <w:rFonts w:ascii="Times New Roman" w:eastAsia="Calibri" w:hAnsi="Times New Roman" w:cs="Times New Roman"/>
      <w:sz w:val="24"/>
      <w:szCs w:val="24"/>
    </w:rPr>
  </w:style>
  <w:style w:type="table" w:customStyle="1" w:styleId="MediumShading2-Accent61">
    <w:name w:val="Medium Shading 2 - Accent 61"/>
    <w:basedOn w:val="TableNormal"/>
    <w:next w:val="MediumShading2-Accent6"/>
    <w:uiPriority w:val="64"/>
    <w:rsid w:val="00426A6F"/>
    <w:pPr>
      <w:spacing w:after="0" w:line="240" w:lineRule="auto"/>
    </w:pPr>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il">
    <w:name w:val="il"/>
    <w:basedOn w:val="DefaultParagraphFont"/>
    <w:rsid w:val="00426A6F"/>
  </w:style>
  <w:style w:type="table" w:styleId="MediumShading2-Accent6">
    <w:name w:val="Medium Shading 2 Accent 6"/>
    <w:basedOn w:val="TableNormal"/>
    <w:uiPriority w:val="64"/>
    <w:semiHidden/>
    <w:unhideWhenUsed/>
    <w:rsid w:val="00426A6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numbering" w:customStyle="1" w:styleId="NoList5">
    <w:name w:val="No List5"/>
    <w:next w:val="NoList"/>
    <w:uiPriority w:val="99"/>
    <w:semiHidden/>
    <w:unhideWhenUsed/>
    <w:rsid w:val="00426A6F"/>
  </w:style>
  <w:style w:type="paragraph" w:customStyle="1" w:styleId="mk3txt">
    <w:name w:val="mk3 txt"/>
    <w:qFormat/>
    <w:rsid w:val="00426A6F"/>
    <w:pPr>
      <w:spacing w:before="60" w:after="60" w:line="240" w:lineRule="auto"/>
    </w:pPr>
    <w:rPr>
      <w:rFonts w:ascii="Times New Roman" w:eastAsia="Times New Roman" w:hAnsi="Times New Roman" w:cs="Times New Roman"/>
      <w:color w:val="0F243E"/>
      <w:sz w:val="18"/>
      <w:szCs w:val="18"/>
      <w:lang w:val="en-GB"/>
    </w:rPr>
  </w:style>
  <w:style w:type="paragraph" w:customStyle="1" w:styleId="mk2txt">
    <w:name w:val="mk2 txt"/>
    <w:qFormat/>
    <w:rsid w:val="00426A6F"/>
    <w:pPr>
      <w:spacing w:before="80" w:after="80" w:line="240" w:lineRule="auto"/>
    </w:pPr>
    <w:rPr>
      <w:rFonts w:ascii="Times New Roman" w:eastAsia="Times New Roman" w:hAnsi="Times New Roman" w:cs="Times New Roman"/>
      <w:color w:val="0F243E"/>
      <w:sz w:val="20"/>
      <w:szCs w:val="20"/>
      <w:lang w:val="en-GB"/>
    </w:rPr>
  </w:style>
  <w:style w:type="table" w:customStyle="1" w:styleId="TableGrid5">
    <w:name w:val="Table Grid5"/>
    <w:basedOn w:val="TableNormal"/>
    <w:next w:val="TableGrid"/>
    <w:rsid w:val="00426A6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ktitanx">
    <w:name w:val="mk tit anx"/>
    <w:next w:val="mk1txt"/>
    <w:rsid w:val="00426A6F"/>
    <w:pPr>
      <w:keepNext/>
      <w:tabs>
        <w:tab w:val="left" w:pos="397"/>
      </w:tabs>
      <w:spacing w:before="600" w:after="480" w:line="360" w:lineRule="auto"/>
      <w:jc w:val="center"/>
    </w:pPr>
    <w:rPr>
      <w:rFonts w:ascii="Cambria" w:eastAsia="Times New Roman" w:hAnsi="Cambria" w:cs="Times New Roman"/>
      <w:b/>
      <w:color w:val="0F243E"/>
      <w:sz w:val="28"/>
      <w:szCs w:val="24"/>
      <w:lang w:val="en-GB"/>
    </w:rPr>
  </w:style>
  <w:style w:type="paragraph" w:customStyle="1" w:styleId="mkshditl">
    <w:name w:val="mk shd itl"/>
    <w:next w:val="mk1txt"/>
    <w:qFormat/>
    <w:rsid w:val="00426A6F"/>
    <w:pPr>
      <w:keepNext/>
      <w:spacing w:before="360" w:after="180" w:line="240" w:lineRule="auto"/>
      <w:ind w:left="578"/>
    </w:pPr>
    <w:rPr>
      <w:rFonts w:ascii="Cambria" w:eastAsia="Times New Roman" w:hAnsi="Cambria" w:cs="Times New Roman"/>
      <w:i/>
      <w:color w:val="0F243E"/>
      <w:lang w:val="en-GB"/>
    </w:rPr>
  </w:style>
  <w:style w:type="paragraph" w:customStyle="1" w:styleId="mk3txtb1">
    <w:name w:val="mk3 txtb1"/>
    <w:basedOn w:val="mk3txt"/>
    <w:qFormat/>
    <w:rsid w:val="00426A6F"/>
    <w:pPr>
      <w:numPr>
        <w:numId w:val="38"/>
      </w:numPr>
      <w:tabs>
        <w:tab w:val="num" w:pos="360"/>
      </w:tabs>
      <w:spacing w:after="0"/>
      <w:ind w:left="142" w:hanging="153"/>
    </w:pPr>
  </w:style>
  <w:style w:type="paragraph" w:customStyle="1" w:styleId="mk1txt">
    <w:name w:val="mk1 txt"/>
    <w:basedOn w:val="Normal"/>
    <w:qFormat/>
    <w:rsid w:val="00426A6F"/>
    <w:pPr>
      <w:spacing w:before="240" w:after="60" w:line="252" w:lineRule="auto"/>
      <w:jc w:val="both"/>
    </w:pPr>
    <w:rPr>
      <w:rFonts w:eastAsia="Times New Roman" w:cs="Times New Roman"/>
      <w:lang w:val="en-GB"/>
    </w:rPr>
  </w:style>
  <w:style w:type="paragraph" w:customStyle="1" w:styleId="mk2titf">
    <w:name w:val="mk2 titf"/>
    <w:basedOn w:val="mk2titb"/>
    <w:rsid w:val="00426A6F"/>
  </w:style>
  <w:style w:type="paragraph" w:customStyle="1" w:styleId="mk2txtb1">
    <w:name w:val="mk2 txtb1"/>
    <w:basedOn w:val="mk2txt"/>
    <w:qFormat/>
    <w:rsid w:val="00426A6F"/>
    <w:pPr>
      <w:numPr>
        <w:numId w:val="28"/>
      </w:numPr>
      <w:tabs>
        <w:tab w:val="clear" w:pos="502"/>
        <w:tab w:val="num" w:pos="360"/>
      </w:tabs>
      <w:spacing w:before="60" w:after="0"/>
      <w:ind w:left="431" w:hanging="142"/>
    </w:pPr>
  </w:style>
  <w:style w:type="paragraph" w:customStyle="1" w:styleId="mk2txtb2">
    <w:name w:val="mk2 txtb2"/>
    <w:basedOn w:val="mk2txt"/>
    <w:qFormat/>
    <w:rsid w:val="00426A6F"/>
    <w:pPr>
      <w:numPr>
        <w:numId w:val="31"/>
      </w:numPr>
      <w:tabs>
        <w:tab w:val="clear" w:pos="296"/>
        <w:tab w:val="num" w:pos="360"/>
      </w:tabs>
      <w:spacing w:before="40" w:after="0"/>
      <w:ind w:left="573" w:hanging="142"/>
    </w:pPr>
  </w:style>
  <w:style w:type="paragraph" w:customStyle="1" w:styleId="mk1txtb2">
    <w:name w:val="mk1 txtb2"/>
    <w:basedOn w:val="mk1txt"/>
    <w:qFormat/>
    <w:rsid w:val="00426A6F"/>
    <w:pPr>
      <w:numPr>
        <w:numId w:val="26"/>
      </w:numPr>
      <w:tabs>
        <w:tab w:val="clear" w:pos="1512"/>
      </w:tabs>
      <w:spacing w:before="60" w:after="0"/>
      <w:ind w:left="1276" w:hanging="283"/>
    </w:pPr>
  </w:style>
  <w:style w:type="paragraph" w:customStyle="1" w:styleId="mk1txtb3">
    <w:name w:val="mk1 txtb3"/>
    <w:basedOn w:val="mk1txt"/>
    <w:qFormat/>
    <w:rsid w:val="00426A6F"/>
    <w:pPr>
      <w:numPr>
        <w:numId w:val="27"/>
      </w:numPr>
      <w:tabs>
        <w:tab w:val="clear" w:pos="2088"/>
      </w:tabs>
      <w:spacing w:before="40" w:after="0"/>
      <w:ind w:left="1446" w:hanging="289"/>
    </w:pPr>
  </w:style>
  <w:style w:type="paragraph" w:customStyle="1" w:styleId="mkshdbld">
    <w:name w:val="mk shd bld"/>
    <w:next w:val="mk1txt"/>
    <w:qFormat/>
    <w:rsid w:val="00426A6F"/>
    <w:pPr>
      <w:keepNext/>
      <w:tabs>
        <w:tab w:val="left" w:pos="397"/>
      </w:tabs>
      <w:spacing w:before="360" w:after="240" w:line="240" w:lineRule="auto"/>
      <w:outlineLvl w:val="1"/>
    </w:pPr>
    <w:rPr>
      <w:rFonts w:ascii="Cambria" w:eastAsia="Times New Roman" w:hAnsi="Cambria" w:cs="Times New Roman"/>
      <w:b/>
      <w:color w:val="0F243E"/>
      <w:lang w:val="en-GB"/>
    </w:rPr>
  </w:style>
  <w:style w:type="paragraph" w:customStyle="1" w:styleId="mk3txtb2">
    <w:name w:val="mk3 txtb2"/>
    <w:basedOn w:val="mk3txt"/>
    <w:qFormat/>
    <w:rsid w:val="00426A6F"/>
    <w:pPr>
      <w:numPr>
        <w:numId w:val="39"/>
      </w:numPr>
      <w:tabs>
        <w:tab w:val="num" w:pos="360"/>
      </w:tabs>
      <w:spacing w:before="20" w:after="40"/>
      <w:ind w:left="300" w:hanging="141"/>
    </w:pPr>
  </w:style>
  <w:style w:type="paragraph" w:customStyle="1" w:styleId="mktitgen">
    <w:name w:val="mk tit gen"/>
    <w:basedOn w:val="mktitanx"/>
    <w:next w:val="mk1txt"/>
    <w:rsid w:val="00426A6F"/>
    <w:pPr>
      <w:spacing w:after="240"/>
    </w:pPr>
  </w:style>
  <w:style w:type="paragraph" w:customStyle="1" w:styleId="mk4titp2">
    <w:name w:val="mk4 titp2"/>
    <w:rsid w:val="00426A6F"/>
    <w:pPr>
      <w:keepNext/>
      <w:spacing w:before="2400" w:after="360" w:line="360" w:lineRule="auto"/>
      <w:ind w:left="142" w:right="720"/>
    </w:pPr>
    <w:rPr>
      <w:rFonts w:ascii="Cambria" w:eastAsia="Times New Roman" w:hAnsi="Cambria" w:cs="Times New Roman"/>
      <w:b/>
      <w:caps/>
      <w:color w:val="0F243E"/>
      <w:sz w:val="28"/>
      <w:szCs w:val="20"/>
      <w:lang w:val="en-GB"/>
    </w:rPr>
  </w:style>
  <w:style w:type="paragraph" w:customStyle="1" w:styleId="mk2titb">
    <w:name w:val="mk2 titb"/>
    <w:basedOn w:val="mk2txt"/>
    <w:rsid w:val="00426A6F"/>
    <w:pPr>
      <w:keepNext/>
      <w:spacing w:before="120" w:after="120"/>
      <w:jc w:val="center"/>
    </w:pPr>
    <w:rPr>
      <w:rFonts w:ascii="Calibri" w:hAnsi="Calibri"/>
      <w:b/>
    </w:rPr>
  </w:style>
  <w:style w:type="paragraph" w:customStyle="1" w:styleId="mk3title">
    <w:name w:val="mk3 title"/>
    <w:basedOn w:val="mk3txt"/>
    <w:rsid w:val="00426A6F"/>
    <w:pPr>
      <w:spacing w:before="120" w:after="120"/>
      <w:jc w:val="center"/>
    </w:pPr>
    <w:rPr>
      <w:b/>
    </w:rPr>
  </w:style>
  <w:style w:type="paragraph" w:customStyle="1" w:styleId="mk4titp1">
    <w:name w:val="mk4 titp1"/>
    <w:basedOn w:val="mk4titp2"/>
    <w:rsid w:val="00426A6F"/>
    <w:pPr>
      <w:spacing w:before="2040" w:line="480" w:lineRule="auto"/>
    </w:pPr>
    <w:rPr>
      <w:caps w:val="0"/>
      <w:sz w:val="26"/>
      <w:szCs w:val="26"/>
    </w:rPr>
  </w:style>
  <w:style w:type="paragraph" w:customStyle="1" w:styleId="mk4titp3">
    <w:name w:val="mk4 titp3"/>
    <w:rsid w:val="00426A6F"/>
    <w:pPr>
      <w:spacing w:after="0" w:line="240" w:lineRule="auto"/>
      <w:ind w:left="142"/>
    </w:pPr>
    <w:rPr>
      <w:rFonts w:ascii="Cambria" w:eastAsia="Times New Roman" w:hAnsi="Cambria" w:cs="Times New Roman"/>
      <w:b/>
      <w:color w:val="0F243E"/>
      <w:szCs w:val="20"/>
      <w:lang w:val="en-GB"/>
    </w:rPr>
  </w:style>
  <w:style w:type="paragraph" w:customStyle="1" w:styleId="mk4titp4">
    <w:name w:val="mk4 titp4"/>
    <w:rsid w:val="00426A6F"/>
    <w:pPr>
      <w:spacing w:before="2400" w:after="2280" w:line="480" w:lineRule="auto"/>
      <w:ind w:left="142"/>
    </w:pPr>
    <w:rPr>
      <w:rFonts w:ascii="Times New Roman" w:eastAsia="Times New Roman" w:hAnsi="Times New Roman" w:cs="Times New Roman"/>
      <w:b/>
      <w:color w:val="0F243E"/>
      <w:kern w:val="28"/>
      <w:sz w:val="20"/>
      <w:szCs w:val="20"/>
      <w:lang w:val="en-GB"/>
    </w:rPr>
  </w:style>
  <w:style w:type="paragraph" w:customStyle="1" w:styleId="mk4titp5">
    <w:name w:val="mk4 titp5"/>
    <w:rsid w:val="00426A6F"/>
    <w:pPr>
      <w:spacing w:before="120" w:after="0" w:line="240" w:lineRule="auto"/>
      <w:ind w:left="142"/>
    </w:pPr>
    <w:rPr>
      <w:rFonts w:ascii="Times New Roman" w:eastAsia="Times New Roman" w:hAnsi="Times New Roman" w:cs="Times New Roman"/>
      <w:color w:val="0F243E"/>
      <w:sz w:val="17"/>
      <w:szCs w:val="17"/>
      <w:lang w:val="en-GB"/>
    </w:rPr>
  </w:style>
  <w:style w:type="paragraph" w:customStyle="1" w:styleId="mk2titt">
    <w:name w:val="mk2titt"/>
    <w:basedOn w:val="mk2titf"/>
    <w:rsid w:val="00426A6F"/>
    <w:pPr>
      <w:spacing w:before="240"/>
    </w:pPr>
  </w:style>
  <w:style w:type="paragraph" w:customStyle="1" w:styleId="mk1txtb1a">
    <w:name w:val="mk1 txtb1a"/>
    <w:basedOn w:val="mk1txtb1"/>
    <w:rsid w:val="00426A6F"/>
    <w:pPr>
      <w:numPr>
        <w:numId w:val="25"/>
      </w:numPr>
      <w:tabs>
        <w:tab w:val="num" w:pos="993"/>
      </w:tabs>
      <w:spacing w:line="252" w:lineRule="auto"/>
      <w:ind w:left="289"/>
    </w:pPr>
    <w:rPr>
      <w:rFonts w:ascii="Calibri" w:hAnsi="Calibri"/>
    </w:rPr>
  </w:style>
  <w:style w:type="paragraph" w:customStyle="1" w:styleId="mk1txtb2a">
    <w:name w:val="mk1 txtb2a"/>
    <w:basedOn w:val="mk1txtb2"/>
    <w:rsid w:val="00426A6F"/>
    <w:pPr>
      <w:ind w:left="567"/>
    </w:pPr>
  </w:style>
  <w:style w:type="paragraph" w:customStyle="1" w:styleId="mk3spacerkwn">
    <w:name w:val="mk3 spacer kwn"/>
    <w:basedOn w:val="mk3txt"/>
    <w:rsid w:val="00426A6F"/>
    <w:pPr>
      <w:keepNext/>
      <w:spacing w:before="0" w:after="0"/>
    </w:pPr>
  </w:style>
  <w:style w:type="paragraph" w:customStyle="1" w:styleId="BoxText">
    <w:name w:val="Box Text"/>
    <w:basedOn w:val="Normal"/>
    <w:rsid w:val="00426A6F"/>
    <w:pPr>
      <w:spacing w:before="40" w:after="40" w:line="240" w:lineRule="auto"/>
      <w:jc w:val="both"/>
    </w:pPr>
    <w:rPr>
      <w:rFonts w:ascii="Times New Roman" w:eastAsia="Times New Roman" w:hAnsi="Times New Roman" w:cs="Times New Roman"/>
      <w:sz w:val="17"/>
      <w:szCs w:val="20"/>
      <w:lang w:val="en-GB"/>
    </w:rPr>
  </w:style>
  <w:style w:type="paragraph" w:customStyle="1" w:styleId="BoxBullet">
    <w:name w:val="Box Bullet"/>
    <w:basedOn w:val="BoxText"/>
    <w:rsid w:val="00426A6F"/>
    <w:pPr>
      <w:tabs>
        <w:tab w:val="left" w:pos="144"/>
        <w:tab w:val="left" w:pos="432"/>
        <w:tab w:val="num" w:pos="648"/>
      </w:tabs>
      <w:spacing w:after="0"/>
      <w:ind w:left="144" w:hanging="144"/>
    </w:pPr>
  </w:style>
  <w:style w:type="paragraph" w:customStyle="1" w:styleId="BoxTitle">
    <w:name w:val="Box Title"/>
    <w:basedOn w:val="BoxText"/>
    <w:rsid w:val="00426A6F"/>
    <w:pPr>
      <w:keepNext/>
      <w:spacing w:before="120" w:after="120"/>
      <w:jc w:val="center"/>
    </w:pPr>
    <w:rPr>
      <w:b/>
      <w:sz w:val="18"/>
      <w:szCs w:val="18"/>
    </w:rPr>
  </w:style>
  <w:style w:type="paragraph" w:customStyle="1" w:styleId="mkacronymstxt">
    <w:name w:val="mk acronyms txt"/>
    <w:basedOn w:val="mk1txt"/>
    <w:rsid w:val="00426A6F"/>
    <w:pPr>
      <w:tabs>
        <w:tab w:val="left" w:pos="1985"/>
      </w:tabs>
      <w:spacing w:before="60"/>
      <w:ind w:left="1985" w:hanging="1985"/>
    </w:pPr>
  </w:style>
  <w:style w:type="paragraph" w:customStyle="1" w:styleId="mkacronymstxt2">
    <w:name w:val="mk acronyms txt2"/>
    <w:basedOn w:val="mkacronymstxt"/>
    <w:rsid w:val="00426A6F"/>
    <w:pPr>
      <w:ind w:hanging="1134"/>
    </w:pPr>
  </w:style>
  <w:style w:type="paragraph" w:customStyle="1" w:styleId="bullet">
    <w:name w:val="bullet"/>
    <w:basedOn w:val="Normal"/>
    <w:qFormat/>
    <w:rsid w:val="00426A6F"/>
    <w:pPr>
      <w:numPr>
        <w:numId w:val="8"/>
      </w:numPr>
      <w:spacing w:before="200" w:after="0" w:line="276" w:lineRule="auto"/>
      <w:ind w:left="720"/>
      <w:contextualSpacing/>
      <w:jc w:val="both"/>
    </w:pPr>
    <w:rPr>
      <w:rFonts w:eastAsia="MS Mincho" w:cs="Times New Roman"/>
      <w:bCs/>
    </w:rPr>
  </w:style>
  <w:style w:type="paragraph" w:customStyle="1" w:styleId="subbullet">
    <w:name w:val="subbullet"/>
    <w:basedOn w:val="Normal"/>
    <w:qFormat/>
    <w:rsid w:val="00426A6F"/>
    <w:pPr>
      <w:numPr>
        <w:ilvl w:val="1"/>
        <w:numId w:val="12"/>
      </w:numPr>
      <w:spacing w:after="0" w:line="276" w:lineRule="auto"/>
      <w:jc w:val="both"/>
    </w:pPr>
    <w:rPr>
      <w:rFonts w:eastAsia="MS Mincho" w:cs="Times New Roman"/>
    </w:rPr>
  </w:style>
  <w:style w:type="paragraph" w:customStyle="1" w:styleId="source">
    <w:name w:val="source"/>
    <w:basedOn w:val="Normal"/>
    <w:qFormat/>
    <w:rsid w:val="00426A6F"/>
    <w:pPr>
      <w:keepNext/>
      <w:keepLines/>
      <w:spacing w:after="0" w:line="240" w:lineRule="auto"/>
      <w:jc w:val="both"/>
    </w:pPr>
    <w:rPr>
      <w:rFonts w:ascii="Calibri" w:eastAsia="Calibri" w:hAnsi="Calibri" w:cs="Times New Roman"/>
      <w:sz w:val="20"/>
      <w:szCs w:val="20"/>
    </w:rPr>
  </w:style>
  <w:style w:type="paragraph" w:customStyle="1" w:styleId="annTitle">
    <w:name w:val="annTitle"/>
    <w:basedOn w:val="Normal"/>
    <w:qFormat/>
    <w:rsid w:val="00426A6F"/>
    <w:pPr>
      <w:spacing w:after="0" w:line="240" w:lineRule="auto"/>
      <w:jc w:val="center"/>
    </w:pPr>
    <w:rPr>
      <w:rFonts w:eastAsia="MS Mincho" w:cs="Times New Roman"/>
      <w:b/>
      <w:bCs/>
      <w:color w:val="000000"/>
      <w:szCs w:val="18"/>
    </w:rPr>
  </w:style>
  <w:style w:type="paragraph" w:customStyle="1" w:styleId="mockhead2">
    <w:name w:val="mockhead2"/>
    <w:basedOn w:val="Normal"/>
    <w:qFormat/>
    <w:rsid w:val="00426A6F"/>
    <w:pPr>
      <w:spacing w:before="100" w:beforeAutospacing="1" w:after="100" w:afterAutospacing="1" w:line="240" w:lineRule="auto"/>
      <w:jc w:val="both"/>
    </w:pPr>
    <w:rPr>
      <w:rFonts w:ascii="Cambria" w:eastAsia="Times New Roman" w:hAnsi="Cambria" w:cs="Times New Roman"/>
      <w:b/>
      <w:bCs/>
      <w:color w:val="1F4E79" w:themeColor="accent1" w:themeShade="8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image" Target="media/image11.emf"/><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e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4543</Words>
  <Characters>25897</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 Nasser Eddin</dc:creator>
  <cp:keywords/>
  <dc:description/>
  <cp:lastModifiedBy>Maya Goldman</cp:lastModifiedBy>
  <cp:revision>4</cp:revision>
  <dcterms:created xsi:type="dcterms:W3CDTF">2015-08-19T09:56:00Z</dcterms:created>
  <dcterms:modified xsi:type="dcterms:W3CDTF">2022-06-03T17:23:00Z</dcterms:modified>
</cp:coreProperties>
</file>